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892E3D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Nova ulica 1</w:t>
      </w:r>
    </w:p>
    <w:p w14:paraId="651BC018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892E3D" w:rsidRDefault="00C9445B" w:rsidP="00C9445B">
      <w:pPr>
        <w:rPr>
          <w:rFonts w:asciiTheme="majorHAnsi" w:hAnsiTheme="majorHAnsi" w:cstheme="majorHAnsi"/>
          <w:sz w:val="16"/>
          <w:szCs w:val="16"/>
        </w:rPr>
      </w:pPr>
    </w:p>
    <w:p w14:paraId="6EB20A0B" w14:textId="5BCA4546" w:rsidR="00317221" w:rsidRPr="00745943" w:rsidRDefault="00317221" w:rsidP="00317221">
      <w:pPr>
        <w:rPr>
          <w:rFonts w:asciiTheme="majorHAnsi" w:hAnsiTheme="majorHAnsi" w:cstheme="majorHAnsi"/>
        </w:rPr>
      </w:pPr>
      <w:r w:rsidRPr="00745943">
        <w:rPr>
          <w:rFonts w:asciiTheme="majorHAnsi" w:hAnsiTheme="majorHAnsi" w:cstheme="majorHAnsi"/>
        </w:rPr>
        <w:t>Klasa: 400-02/2</w:t>
      </w:r>
      <w:r w:rsidR="00745943" w:rsidRPr="00745943">
        <w:rPr>
          <w:rFonts w:asciiTheme="majorHAnsi" w:hAnsiTheme="majorHAnsi" w:cstheme="majorHAnsi"/>
        </w:rPr>
        <w:t>3</w:t>
      </w:r>
      <w:r w:rsidRPr="00745943">
        <w:rPr>
          <w:rFonts w:asciiTheme="majorHAnsi" w:hAnsiTheme="majorHAnsi" w:cstheme="majorHAnsi"/>
        </w:rPr>
        <w:t>-01/01</w:t>
      </w:r>
    </w:p>
    <w:p w14:paraId="3F383B50" w14:textId="4EFA25AC" w:rsidR="00317221" w:rsidRPr="00745943" w:rsidRDefault="00317221" w:rsidP="00317221">
      <w:pPr>
        <w:rPr>
          <w:rFonts w:asciiTheme="majorHAnsi" w:hAnsiTheme="majorHAnsi" w:cstheme="majorHAnsi"/>
        </w:rPr>
      </w:pPr>
      <w:r w:rsidRPr="00745943">
        <w:rPr>
          <w:rFonts w:asciiTheme="majorHAnsi" w:hAnsiTheme="majorHAnsi" w:cstheme="majorHAnsi"/>
        </w:rPr>
        <w:t>Urbroj: 2113-02-2</w:t>
      </w:r>
      <w:r w:rsidR="00745943" w:rsidRPr="00745943">
        <w:rPr>
          <w:rFonts w:asciiTheme="majorHAnsi" w:hAnsiTheme="majorHAnsi" w:cstheme="majorHAnsi"/>
        </w:rPr>
        <w:t>3</w:t>
      </w:r>
      <w:r w:rsidRPr="00745943">
        <w:rPr>
          <w:rFonts w:asciiTheme="majorHAnsi" w:hAnsiTheme="majorHAnsi" w:cstheme="majorHAnsi"/>
        </w:rPr>
        <w:t>-0</w:t>
      </w:r>
      <w:r w:rsidR="008F0887" w:rsidRPr="00745943">
        <w:rPr>
          <w:rFonts w:asciiTheme="majorHAnsi" w:hAnsiTheme="majorHAnsi" w:cstheme="majorHAnsi"/>
        </w:rPr>
        <w:t>3</w:t>
      </w:r>
    </w:p>
    <w:p w14:paraId="6B483484" w14:textId="32F45B94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Donja Stubica, </w:t>
      </w:r>
      <w:r w:rsidR="00AA2EE2">
        <w:rPr>
          <w:rFonts w:asciiTheme="majorHAnsi" w:hAnsiTheme="majorHAnsi" w:cstheme="majorHAnsi"/>
        </w:rPr>
        <w:t>2</w:t>
      </w:r>
      <w:r w:rsidR="00050041">
        <w:rPr>
          <w:rFonts w:asciiTheme="majorHAnsi" w:hAnsiTheme="majorHAnsi" w:cstheme="majorHAnsi"/>
        </w:rPr>
        <w:t>5</w:t>
      </w:r>
      <w:r w:rsidRPr="00892E3D">
        <w:rPr>
          <w:rFonts w:asciiTheme="majorHAnsi" w:hAnsiTheme="majorHAnsi" w:cstheme="majorHAnsi"/>
        </w:rPr>
        <w:t>. 10. 202</w:t>
      </w:r>
      <w:r w:rsidR="00AA2EE2">
        <w:rPr>
          <w:rFonts w:asciiTheme="majorHAnsi" w:hAnsiTheme="majorHAnsi" w:cstheme="majorHAnsi"/>
        </w:rPr>
        <w:t>3</w:t>
      </w:r>
      <w:r w:rsidRPr="00892E3D">
        <w:rPr>
          <w:rFonts w:asciiTheme="majorHAnsi" w:hAnsiTheme="majorHAnsi" w:cstheme="majorHAnsi"/>
        </w:rPr>
        <w:t xml:space="preserve">. </w:t>
      </w:r>
    </w:p>
    <w:p w14:paraId="27B803C3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597521C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7D9EF775" w14:textId="3E38E05A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 xml:space="preserve">OBRAZLOŽENJE  FINANCIJSKOG PLANA </w:t>
      </w:r>
      <w:r w:rsidR="00892E3D">
        <w:rPr>
          <w:rFonts w:asciiTheme="majorHAnsi" w:hAnsiTheme="majorHAnsi" w:cstheme="majorHAnsi"/>
          <w:b/>
          <w:bCs/>
          <w:sz w:val="28"/>
          <w:szCs w:val="28"/>
        </w:rPr>
        <w:t>za 202</w:t>
      </w:r>
      <w:r w:rsidR="00AA2EE2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892E3D">
        <w:rPr>
          <w:rFonts w:asciiTheme="majorHAnsi" w:hAnsiTheme="majorHAnsi" w:cstheme="majorHAnsi"/>
          <w:b/>
          <w:bCs/>
          <w:sz w:val="28"/>
          <w:szCs w:val="28"/>
        </w:rPr>
        <w:t>. godinu</w:t>
      </w:r>
    </w:p>
    <w:p w14:paraId="56884DF8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62416B5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1880201" w14:textId="77777777" w:rsidR="00317221" w:rsidRPr="00892E3D" w:rsidRDefault="00317221" w:rsidP="00317221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UVOD</w:t>
      </w:r>
    </w:p>
    <w:p w14:paraId="09C1E1EB" w14:textId="28C7D3AB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Izrada financijskog plana korisnika proračuna propisana je </w:t>
      </w:r>
      <w:bookmarkStart w:id="0" w:name="_Hlk49857486"/>
      <w:r w:rsidRPr="00830991">
        <w:rPr>
          <w:rFonts w:asciiTheme="majorHAnsi" w:hAnsiTheme="majorHAnsi" w:cstheme="majorHAnsi"/>
        </w:rPr>
        <w:t xml:space="preserve">Zakonom o proračunu (NN </w:t>
      </w:r>
      <w:r w:rsidR="00991095" w:rsidRPr="00830991">
        <w:rPr>
          <w:rFonts w:asciiTheme="majorHAnsi" w:hAnsiTheme="majorHAnsi" w:cstheme="majorHAnsi"/>
        </w:rPr>
        <w:t>144/21</w:t>
      </w:r>
      <w:r w:rsidRPr="00830991">
        <w:rPr>
          <w:rFonts w:asciiTheme="majorHAnsi" w:hAnsiTheme="majorHAnsi" w:cstheme="majorHAnsi"/>
        </w:rPr>
        <w:t xml:space="preserve">) te podzakonskim aktima - Pravilnikom o proračunskim klasifikacijama (NN 26/10) i Pravilnikom o proračunskom računovodstvu i računskom planu (NN 124/14). </w:t>
      </w:r>
    </w:p>
    <w:bookmarkEnd w:id="0"/>
    <w:p w14:paraId="6E04AA18" w14:textId="64DD2C90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Člankom </w:t>
      </w:r>
      <w:r w:rsidR="008D2A3A" w:rsidRPr="00830991">
        <w:rPr>
          <w:rFonts w:asciiTheme="majorHAnsi" w:hAnsiTheme="majorHAnsi" w:cstheme="majorHAnsi"/>
        </w:rPr>
        <w:t>34</w:t>
      </w:r>
      <w:r w:rsidRPr="00830991">
        <w:rPr>
          <w:rFonts w:asciiTheme="majorHAnsi" w:hAnsiTheme="majorHAnsi" w:cstheme="majorHAnsi"/>
        </w:rPr>
        <w:t xml:space="preserve">. </w:t>
      </w:r>
      <w:r w:rsidR="008D2A3A" w:rsidRPr="00830991">
        <w:rPr>
          <w:rFonts w:asciiTheme="majorHAnsi" w:hAnsiTheme="majorHAnsi" w:cstheme="majorHAnsi"/>
        </w:rPr>
        <w:t>i 35.</w:t>
      </w:r>
      <w:r w:rsidRPr="00830991">
        <w:rPr>
          <w:rFonts w:asciiTheme="majorHAnsi" w:hAnsiTheme="majorHAnsi" w:cstheme="majorHAnsi"/>
        </w:rPr>
        <w:t xml:space="preserve"> Zakona o proračunu propisano je da se financijski plan sastoji od:</w:t>
      </w:r>
    </w:p>
    <w:p w14:paraId="43FE3DA0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prihoda i primitaka iskazanih po vrstama</w:t>
      </w:r>
    </w:p>
    <w:p w14:paraId="0B8EF3FA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rashoda i izdataka predviđenih za trogodišnje razdoblje, razvrstanih prema</w:t>
      </w:r>
    </w:p>
    <w:p w14:paraId="063270ED" w14:textId="77777777" w:rsidR="00317221" w:rsidRPr="00830991" w:rsidRDefault="00317221" w:rsidP="00317221">
      <w:pPr>
        <w:pStyle w:val="Odlomakpopisa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proračunskim klasifikacijama</w:t>
      </w:r>
    </w:p>
    <w:p w14:paraId="5822E2ED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obrazloženja financijskog plana</w:t>
      </w:r>
    </w:p>
    <w:p w14:paraId="4D688C18" w14:textId="6BCDDF11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Člankom 3</w:t>
      </w:r>
      <w:r w:rsidR="008D2A3A" w:rsidRPr="00830991">
        <w:rPr>
          <w:rFonts w:asciiTheme="majorHAnsi" w:hAnsiTheme="majorHAnsi" w:cstheme="majorHAnsi"/>
        </w:rPr>
        <w:t>6</w:t>
      </w:r>
      <w:r w:rsidRPr="00830991">
        <w:rPr>
          <w:rFonts w:asciiTheme="majorHAnsi" w:hAnsiTheme="majorHAnsi" w:cstheme="majorHAnsi"/>
        </w:rPr>
        <w:t>. Zakona o proračunu utvrđen je obvezni sadržaj obrazloženja financijskog plana koji sačinjava:</w:t>
      </w:r>
    </w:p>
    <w:p w14:paraId="3ED34112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sažetak djelokruga rada proračunskog korisnika</w:t>
      </w:r>
    </w:p>
    <w:p w14:paraId="49742CE6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 programa</w:t>
      </w:r>
    </w:p>
    <w:p w14:paraId="08EB59D6" w14:textId="57758FF6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zakonske i druge podloge na kojima se zasniva program</w:t>
      </w:r>
      <w:r w:rsidR="0010722E">
        <w:rPr>
          <w:rFonts w:asciiTheme="majorHAnsi" w:hAnsiTheme="majorHAnsi" w:cstheme="majorHAnsi"/>
        </w:rPr>
        <w:t xml:space="preserve"> rada</w:t>
      </w:r>
    </w:p>
    <w:p w14:paraId="47E217E5" w14:textId="4DAC850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usklađene ciljeve, strategiju i programe </w:t>
      </w:r>
    </w:p>
    <w:p w14:paraId="47BB8C06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ishodište i pokazatelje na kojima se zasnivaju izračuni i ocjene potrebnih sredstava za provođenje programa</w:t>
      </w:r>
    </w:p>
    <w:p w14:paraId="00F7A83C" w14:textId="77777777" w:rsidR="00317221" w:rsidRDefault="00317221" w:rsidP="00317221">
      <w:pPr>
        <w:jc w:val="both"/>
        <w:rPr>
          <w:rFonts w:asciiTheme="majorHAnsi" w:hAnsiTheme="majorHAnsi" w:cstheme="majorHAnsi"/>
        </w:rPr>
      </w:pPr>
    </w:p>
    <w:p w14:paraId="1DFE29FB" w14:textId="6E783488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Obrazloženjem financijskog plana povezujemo Godišnji plan i program rada Pučkog otvorenog učilišta Donja Stubica sa financijskim sredstvima potrebnim za njihovo ostvarivanje.</w:t>
      </w:r>
    </w:p>
    <w:p w14:paraId="3A9D4C37" w14:textId="792A8B41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 financijskog plana je i obvezujući odgovor u Upitniku o fiskalnoj odgovornosti, sastavnom djelu Izjave o fiskalnoj odgovornosti, koja se mora sastaviti i predati do 28. veljače 202</w:t>
      </w:r>
      <w:r w:rsidR="00AA2EE2" w:rsidRPr="00830991">
        <w:rPr>
          <w:rFonts w:asciiTheme="majorHAnsi" w:hAnsiTheme="majorHAnsi" w:cstheme="majorHAnsi"/>
        </w:rPr>
        <w:t>4</w:t>
      </w:r>
      <w:r w:rsidRPr="00830991">
        <w:rPr>
          <w:rFonts w:asciiTheme="majorHAnsi" w:hAnsiTheme="majorHAnsi" w:cstheme="majorHAnsi"/>
        </w:rPr>
        <w:t>. za 202</w:t>
      </w:r>
      <w:r w:rsidR="00AA2EE2" w:rsidRPr="00830991">
        <w:rPr>
          <w:rFonts w:asciiTheme="majorHAnsi" w:hAnsiTheme="majorHAnsi" w:cstheme="majorHAnsi"/>
        </w:rPr>
        <w:t>3</w:t>
      </w:r>
      <w:r w:rsidRPr="00830991">
        <w:rPr>
          <w:rFonts w:asciiTheme="majorHAnsi" w:hAnsiTheme="majorHAnsi" w:cstheme="majorHAnsi"/>
        </w:rPr>
        <w:t xml:space="preserve">. godinu (Uredba o sastavljanju i predaji Izjave o fiskalnoj odgovornosti i izvještaja o primjeni fiskalnih pravila NN 95/19). </w:t>
      </w:r>
    </w:p>
    <w:p w14:paraId="3F819F24" w14:textId="130CE978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32"/>
          <w:szCs w:val="32"/>
        </w:rPr>
        <w:br w:type="column"/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lastRenderedPageBreak/>
        <w:t>OBRAZLOŽENJE FINANCIJSKOG PLANA za 202</w:t>
      </w:r>
      <w:r w:rsidR="00AA2EE2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 xml:space="preserve">. godinu </w:t>
      </w:r>
    </w:p>
    <w:p w14:paraId="6AC2F4A7" w14:textId="74143150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>s projekcijama za 202</w:t>
      </w:r>
      <w:r w:rsidR="00AA2EE2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>. i 202</w:t>
      </w:r>
      <w:r w:rsidR="00AA2EE2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54309CE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80156BC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1669694E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Razina: 21 – Proračunski korisnik proračuna Grada Donja Stubica</w:t>
      </w:r>
    </w:p>
    <w:p w14:paraId="64F9843D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Broj RKP: 51685</w:t>
      </w:r>
    </w:p>
    <w:p w14:paraId="53530D1F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Razdjel: 003</w:t>
      </w:r>
    </w:p>
    <w:p w14:paraId="342B4CDB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Glava: 00303</w:t>
      </w:r>
    </w:p>
    <w:p w14:paraId="7C304B4A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3C55F00" w14:textId="77777777" w:rsidR="00317221" w:rsidRPr="00892E3D" w:rsidRDefault="00317221" w:rsidP="00317221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Sažetak djelokruga rada proračunskog korisnika Pučkog otvorenog učilišta Donja Stubica</w:t>
      </w:r>
    </w:p>
    <w:p w14:paraId="25DA6C6D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477E5AE1" w14:textId="0609BCA1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 xml:space="preserve">Pučko otvoreno učilište Donja Stubica, Nova ulica 1 iz Donje Stubice osnovano je temeljem Zakona o </w:t>
      </w:r>
      <w:r w:rsidR="00DA54F9" w:rsidRPr="00830991">
        <w:rPr>
          <w:rFonts w:asciiTheme="majorHAnsi" w:hAnsiTheme="majorHAnsi" w:cstheme="majorHAnsi"/>
          <w:lang w:eastAsia="en-US"/>
        </w:rPr>
        <w:t>ustanovama</w:t>
      </w:r>
      <w:r w:rsidRPr="00830991">
        <w:rPr>
          <w:rFonts w:asciiTheme="majorHAnsi" w:hAnsiTheme="majorHAnsi" w:cstheme="majorHAnsi"/>
          <w:lang w:eastAsia="en-US"/>
        </w:rPr>
        <w:t>, a osnivač je grad Donja Stubica.</w:t>
      </w:r>
    </w:p>
    <w:p w14:paraId="557135F0" w14:textId="77777777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U sastavu Pučkog otvorenog učilišta djeluje i Knjižnica.</w:t>
      </w:r>
    </w:p>
    <w:p w14:paraId="732F2DF9" w14:textId="09BD5B24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 xml:space="preserve">Ravnateljica </w:t>
      </w:r>
      <w:r w:rsidR="00DA54F9" w:rsidRPr="00830991">
        <w:rPr>
          <w:rFonts w:asciiTheme="majorHAnsi" w:hAnsiTheme="majorHAnsi" w:cstheme="majorHAnsi"/>
          <w:lang w:eastAsia="en-US"/>
        </w:rPr>
        <w:t>Pučkog otvorenog učilišta Donja Stubica</w:t>
      </w:r>
      <w:r w:rsidRPr="00830991">
        <w:rPr>
          <w:rFonts w:asciiTheme="majorHAnsi" w:hAnsiTheme="majorHAnsi" w:cstheme="majorHAnsi"/>
          <w:lang w:eastAsia="en-US"/>
        </w:rPr>
        <w:t xml:space="preserve"> je Manuela Frinčić.</w:t>
      </w:r>
    </w:p>
    <w:p w14:paraId="4B1BC038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Djelatnosti Učilišta su:</w:t>
      </w:r>
    </w:p>
    <w:p w14:paraId="02AA144A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osnovnoškolsko obrazovanje odraslih </w:t>
      </w:r>
    </w:p>
    <w:p w14:paraId="51D91C98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srednjoškolsko obrazovanje odraslih </w:t>
      </w:r>
    </w:p>
    <w:p w14:paraId="112AD887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formalno i neformalno obrazovanje mladeži i odraslih izvan sustava redovitog obrazovanja</w:t>
      </w:r>
    </w:p>
    <w:p w14:paraId="33C16D57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osnovno umjetničko obrazovanje </w:t>
      </w:r>
    </w:p>
    <w:p w14:paraId="1E8C623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ostali oblici obrazovanja</w:t>
      </w:r>
    </w:p>
    <w:p w14:paraId="0AA0E05B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knjižnična djelatnost</w:t>
      </w:r>
    </w:p>
    <w:p w14:paraId="58CBA6A6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ostvarivanje i promicanje multikulturnih, nacionalnih i interkulturnih vrijednosti</w:t>
      </w:r>
    </w:p>
    <w:p w14:paraId="17C512DC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organiziranje kazališnih, glazbenih, estradnih, filmskih i drugih kulturno-umjetničkih</w:t>
      </w:r>
    </w:p>
    <w:p w14:paraId="7E71529E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  programa vlastite produkcije ili u suradnji s drugim ustanovama</w:t>
      </w:r>
    </w:p>
    <w:p w14:paraId="5C7B694A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galerijsko-izložbena djelatnost</w:t>
      </w:r>
    </w:p>
    <w:p w14:paraId="0583195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organiziranje i promicanje svih oblika kulturno-umjetničkog stvaralaštva</w:t>
      </w:r>
    </w:p>
    <w:p w14:paraId="116F25AD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prikazivanje filmova </w:t>
      </w:r>
    </w:p>
    <w:p w14:paraId="70050AE1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informatičko opismenjavanje djece, mladeži i odraslih</w:t>
      </w:r>
    </w:p>
    <w:p w14:paraId="0C7F39F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organiziranje tečajeva učenja sviranja glazbenih instrumenata </w:t>
      </w:r>
    </w:p>
    <w:p w14:paraId="07DEDB7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tečajevi i poduka stranih jezika te usluge obavljanja prijevoda</w:t>
      </w:r>
    </w:p>
    <w:p w14:paraId="0B9578C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tečajevi i poduka hrvatskog jezika</w:t>
      </w:r>
    </w:p>
    <w:p w14:paraId="00477EBB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stjecanje posebnih znanja i vještina</w:t>
      </w:r>
    </w:p>
    <w:p w14:paraId="51D578E4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javno informiranje</w:t>
      </w:r>
    </w:p>
    <w:p w14:paraId="058B9C1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izdavačka djelatnost</w:t>
      </w:r>
    </w:p>
    <w:p w14:paraId="57EF2D36" w14:textId="03CFA933" w:rsidR="0069071A" w:rsidRPr="00830991" w:rsidRDefault="0069071A" w:rsidP="0069071A">
      <w:pPr>
        <w:autoSpaceDE w:val="0"/>
        <w:autoSpaceDN w:val="0"/>
        <w:adjustRightInd w:val="0"/>
        <w:ind w:left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proizvodnja i prodaja knjiga, umjetničkih djela, suvenira, audio i video materijala te drugih nastavnih pomagala u svezi s izvršenjem registrirane djelatnosti</w:t>
      </w:r>
    </w:p>
    <w:p w14:paraId="0DA6662F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pružanje ugostiteljskih usluga (pripremanje i usluživanje pićem i napitcima)</w:t>
      </w:r>
    </w:p>
    <w:p w14:paraId="43AACC5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obrada podataka</w:t>
      </w:r>
    </w:p>
    <w:p w14:paraId="0A6D6F4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kupnja i prodaja robe.</w:t>
      </w:r>
    </w:p>
    <w:p w14:paraId="270DA5E0" w14:textId="77777777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1A14656" w14:textId="77777777" w:rsidR="00317221" w:rsidRPr="00830991" w:rsidRDefault="00317221" w:rsidP="00317221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lang w:eastAsia="en-US"/>
        </w:rPr>
      </w:pPr>
      <w:r w:rsidRPr="00830991">
        <w:rPr>
          <w:rFonts w:asciiTheme="majorHAnsi" w:eastAsia="TimesNewRomanPSMT" w:hAnsiTheme="majorHAnsi" w:cstheme="majorHAnsi"/>
          <w:lang w:eastAsia="en-US"/>
        </w:rPr>
        <w:t>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</w:t>
      </w:r>
    </w:p>
    <w:p w14:paraId="3314216B" w14:textId="24A66CBC" w:rsidR="00317221" w:rsidRPr="00830991" w:rsidRDefault="00317221" w:rsidP="0031722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TimesNewRomanPSMT" w:hAnsiTheme="majorHAnsi" w:cstheme="majorHAnsi"/>
          <w:lang w:eastAsia="en-US"/>
        </w:rPr>
        <w:t xml:space="preserve">Naglasak je na </w:t>
      </w:r>
      <w:r w:rsidR="0010722E">
        <w:rPr>
          <w:rFonts w:asciiTheme="majorHAnsi" w:eastAsia="TimesNewRomanPSMT" w:hAnsiTheme="majorHAnsi" w:cstheme="majorHAnsi"/>
          <w:lang w:eastAsia="en-US"/>
        </w:rPr>
        <w:t>sudjelovanju</w:t>
      </w:r>
      <w:r w:rsidRPr="00830991">
        <w:rPr>
          <w:rFonts w:asciiTheme="majorHAnsi" w:eastAsia="TimesNewRomanPSMT" w:hAnsiTheme="majorHAnsi" w:cstheme="majorHAnsi"/>
          <w:lang w:eastAsia="en-US"/>
        </w:rPr>
        <w:t xml:space="preserve"> pri oblikovanju i održavanju kulturnog identiteta zajednice uz dostupnost knjiga, organiziranju tematskih izložbi i kulturnih događanja.</w:t>
      </w:r>
    </w:p>
    <w:p w14:paraId="2652C6FC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0A88577" w14:textId="2EF8FA33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lastRenderedPageBreak/>
        <w:t>Također, cilj djelatnosti je kontinuirana suradnja s kulturno-umjetničkim udrugama, ustanovama, gospodarskim subjektima u Gradu, održavanje tribina, predavanja i promoviranje knjiga, održavanje predstava amaterskih i profesionalnih glumaca, održavanje tradicionalnih kulturno-zabavnih događanja u Gradu, održavanje manifestacija vezanih  za Mjesec hrvatske knjige 15. 10. – 15. 11., Dan hrvatskih knjižnica, Dane grada Donja Stubica, Tjedan cjeloživotnog učenja, Noć knjige i sl. te organiziranje skupnih posjeta djece i obilaska knjižnice.</w:t>
      </w:r>
    </w:p>
    <w:p w14:paraId="4657E256" w14:textId="77777777" w:rsidR="00050041" w:rsidRPr="00892E3D" w:rsidRDefault="0005004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7F34673D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lang w:eastAsia="en-US"/>
        </w:rPr>
      </w:pPr>
      <w:r w:rsidRPr="00892E3D">
        <w:rPr>
          <w:rFonts w:asciiTheme="majorHAnsi" w:hAnsiTheme="majorHAnsi" w:cstheme="majorHAnsi"/>
          <w:b/>
          <w:bCs/>
          <w:lang w:eastAsia="en-US"/>
        </w:rPr>
        <w:t>Obrazloženje programa</w:t>
      </w:r>
    </w:p>
    <w:p w14:paraId="18698CAB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24463931" w14:textId="2E6F0C82" w:rsidR="00317221" w:rsidRPr="00830991" w:rsidRDefault="00317221" w:rsidP="00317221">
      <w:pPr>
        <w:jc w:val="both"/>
        <w:rPr>
          <w:rFonts w:asciiTheme="majorHAnsi" w:hAnsiTheme="majorHAnsi" w:cstheme="majorHAnsi"/>
          <w:b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Knjižnica Donja Stubica u 202</w:t>
      </w:r>
      <w:r w:rsidR="00AA2EE2" w:rsidRPr="00830991">
        <w:rPr>
          <w:rFonts w:asciiTheme="majorHAnsi" w:hAnsiTheme="majorHAnsi" w:cstheme="majorHAnsi"/>
          <w:lang w:eastAsia="en-US"/>
        </w:rPr>
        <w:t>2</w:t>
      </w:r>
      <w:r w:rsidRPr="00830991">
        <w:rPr>
          <w:rFonts w:asciiTheme="majorHAnsi" w:hAnsiTheme="majorHAnsi" w:cstheme="majorHAnsi"/>
          <w:lang w:eastAsia="en-US"/>
        </w:rPr>
        <w:t xml:space="preserve">. godini imala je </w:t>
      </w:r>
      <w:r w:rsidR="00AA2EE2" w:rsidRPr="00830991">
        <w:rPr>
          <w:rFonts w:asciiTheme="majorHAnsi" w:hAnsiTheme="majorHAnsi" w:cstheme="majorHAnsi"/>
          <w:lang w:eastAsia="en-US"/>
        </w:rPr>
        <w:t>713</w:t>
      </w:r>
      <w:r w:rsidRPr="00830991">
        <w:rPr>
          <w:rFonts w:asciiTheme="majorHAnsi" w:hAnsiTheme="majorHAnsi" w:cstheme="majorHAnsi"/>
          <w:lang w:eastAsia="en-US"/>
        </w:rPr>
        <w:t xml:space="preserve"> korisnika knjižnice.  Planira se raditi na povećanju članstava kroz razne akcije učlanjivanja, povećanje knjižnog fonda prema zahtjevima korisnika te pružanjem dodatnih usluga. </w:t>
      </w:r>
      <w:r w:rsidRPr="00830991">
        <w:rPr>
          <w:rFonts w:asciiTheme="majorHAnsi" w:hAnsiTheme="majorHAnsi" w:cstheme="majorHAnsi"/>
          <w:b/>
          <w:lang w:eastAsia="en-US"/>
        </w:rPr>
        <w:t>Kako se ekonomska vrijednost knjižnice ne može mjeriti samo u broju knjiga koje posjeduje</w:t>
      </w:r>
      <w:r w:rsidR="000E0CD0">
        <w:rPr>
          <w:rFonts w:asciiTheme="majorHAnsi" w:hAnsiTheme="majorHAnsi" w:cstheme="majorHAnsi"/>
          <w:b/>
          <w:lang w:eastAsia="en-US"/>
        </w:rPr>
        <w:t>,</w:t>
      </w:r>
      <w:r w:rsidRPr="00830991">
        <w:rPr>
          <w:rFonts w:asciiTheme="majorHAnsi" w:hAnsiTheme="majorHAnsi" w:cstheme="majorHAnsi"/>
          <w:b/>
          <w:lang w:eastAsia="en-US"/>
        </w:rPr>
        <w:t xml:space="preserve"> te broju članova već i utjecajem na pojedinca, velika pažnja posvećivati će se rješavanju potreba i zahtjeva naših korisnika, odnosno nastojat će se pozitivno riješiti svaki upit te pomoći tražitelju usluge.</w:t>
      </w:r>
    </w:p>
    <w:p w14:paraId="350CC1B3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456FD302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Vrlo veliku pozornost poklanjamo i knjižnično-kulturnoj djelatnosti, te uz osnovne poslove kao što su nabava, obrada i posudba knjiga, te ostali manipulativni poslovi s knjižnim fondom, organiziramo i brojna kulturna događanja, promocije, predavanja, radionice, druženja i susrete za djecu i odrasle, kojima nastojimo našim korisnicima približiti kulturu, a Knjižnicu uvrstiti u svakodnevno mjesto boravka.</w:t>
      </w:r>
    </w:p>
    <w:p w14:paraId="6DFECB8A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62D368D6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Kroz cijelu godinu organiziramo kulturna događanja i surađujemo sa ustanovama i udrugama na području Grada Donja Stubica i šire sa ciljem poboljšanja i povećanja kulturnih, sportskih i drugih događanja.</w:t>
      </w:r>
    </w:p>
    <w:p w14:paraId="6E39F1D3" w14:textId="470880FA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3FFF2C01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Velika važnost pridaje se nabavi knjižne građe te se redovito svake godine vrši nabava knjiga sredstvima Ministarstva kulture, Grada Donja Stubica i Krapinsko-zagorske županije, donacijama knjiga članova knjižnice ili izdavača te otkupom knjiga Ministarstva kulture.</w:t>
      </w:r>
    </w:p>
    <w:p w14:paraId="3B48020C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</w:p>
    <w:p w14:paraId="54835E79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 xml:space="preserve">Što se tiče obrazovne djelatnosti, Pučko otvoreno učilište Donja Stubica provodi formalne i neformalne programe obrazovanja za djecu i odrasle. </w:t>
      </w:r>
    </w:p>
    <w:p w14:paraId="4ECC392C" w14:textId="3FB488D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>Od formalnih programa provodimo programe osposobljavanja i usavršavanja koji su odobreni od Ministarstva znanosti i obrazovanja. Trajanje i vrijeme održavanja programa osposobljavanja i usavršavanja znatno je fleksibilnije od klasičnih školskih programa, što omogućuje polaznicima usklađivanje pohađanja nastave sa drugim poslovnim i osobnim obvezama, a nastava je usmjerena na stjecanje praktičnih vještina polaznika. Polaznici programa osposobljavanja i usavršavanja nakon svladanih nastavnih sadržaja polažu završnu provjeru koja se sastoji iz pismenog, usmenog i praktičnog dijela, ovisno o programu. Po uspješno završ</w:t>
      </w:r>
      <w:r w:rsidR="00606B0F">
        <w:rPr>
          <w:rFonts w:asciiTheme="majorHAnsi" w:eastAsia="Calibri" w:hAnsiTheme="majorHAnsi" w:cstheme="majorHAnsi"/>
          <w:lang w:eastAsia="en-US"/>
        </w:rPr>
        <w:t>e</w:t>
      </w:r>
      <w:r w:rsidRPr="00830991">
        <w:rPr>
          <w:rFonts w:asciiTheme="majorHAnsi" w:eastAsia="Calibri" w:hAnsiTheme="majorHAnsi" w:cstheme="majorHAnsi"/>
          <w:lang w:eastAsia="en-US"/>
        </w:rPr>
        <w:t xml:space="preserve">noj </w:t>
      </w:r>
      <w:r w:rsidR="005825DC">
        <w:rPr>
          <w:rFonts w:asciiTheme="majorHAnsi" w:eastAsia="Calibri" w:hAnsiTheme="majorHAnsi" w:cstheme="majorHAnsi"/>
          <w:lang w:eastAsia="en-US"/>
        </w:rPr>
        <w:t xml:space="preserve">završnoj </w:t>
      </w:r>
      <w:r w:rsidRPr="00830991">
        <w:rPr>
          <w:rFonts w:asciiTheme="majorHAnsi" w:eastAsia="Calibri" w:hAnsiTheme="majorHAnsi" w:cstheme="majorHAnsi"/>
          <w:lang w:eastAsia="en-US"/>
        </w:rPr>
        <w:t>provjeri znanja kod verificiranih programa polaznici dobivaju Uvjerenje koje je javna isprava te se upisuje u elektronički zapis Hrvatskog zavoda za mirovinsko osiguranje i služi im za zaposlenje.</w:t>
      </w:r>
    </w:p>
    <w:p w14:paraId="0BBA386F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>Od neformalnih programa nudimo mogućnost organizacije: tečaj rada na računalu, ostali tečajevi prema zahtjevima tržišta, tečajevi stranih jezika za odrasle i tečajevi stranih jezika za djecu predškolske i školske dobi u suradnji s vrtićima i školama. Kod neformalnih programa polaznici po završetku tečaja, a nakon položene završne provjere znanja, dobivaju Uvjerenje Pučkog otvorenog učilišta Donja Stubica o položenom tečaju.</w:t>
      </w:r>
    </w:p>
    <w:p w14:paraId="0213BFF0" w14:textId="77777777" w:rsidR="00317221" w:rsidRPr="00830991" w:rsidRDefault="00317221" w:rsidP="00317221">
      <w:pPr>
        <w:ind w:left="12" w:firstLine="708"/>
        <w:jc w:val="both"/>
        <w:rPr>
          <w:rFonts w:asciiTheme="majorHAnsi" w:hAnsiTheme="majorHAnsi" w:cstheme="majorHAnsi"/>
        </w:rPr>
      </w:pPr>
    </w:p>
    <w:p w14:paraId="4AB703D9" w14:textId="6DB65AE2" w:rsidR="00317221" w:rsidRPr="007724EE" w:rsidRDefault="00317221" w:rsidP="00317221">
      <w:pPr>
        <w:jc w:val="both"/>
        <w:rPr>
          <w:rFonts w:asciiTheme="majorHAnsi" w:hAnsiTheme="majorHAnsi" w:cstheme="majorHAnsi"/>
        </w:rPr>
      </w:pPr>
      <w:r w:rsidRPr="007724EE">
        <w:rPr>
          <w:rFonts w:asciiTheme="majorHAnsi" w:hAnsiTheme="majorHAnsi" w:cstheme="majorHAnsi"/>
        </w:rPr>
        <w:lastRenderedPageBreak/>
        <w:t>U 2022. godini</w:t>
      </w:r>
      <w:r w:rsidR="005C7F57">
        <w:rPr>
          <w:rFonts w:asciiTheme="majorHAnsi" w:hAnsiTheme="majorHAnsi" w:cstheme="majorHAnsi"/>
        </w:rPr>
        <w:t xml:space="preserve"> prema novom Zakonu o održivoj uporabi pesticida (NN 46/2022)</w:t>
      </w:r>
      <w:r w:rsidRPr="007724EE">
        <w:rPr>
          <w:rFonts w:asciiTheme="majorHAnsi" w:hAnsiTheme="majorHAnsi" w:cstheme="majorHAnsi"/>
        </w:rPr>
        <w:t xml:space="preserve"> </w:t>
      </w:r>
      <w:r w:rsidR="007724EE" w:rsidRPr="007724EE">
        <w:rPr>
          <w:rFonts w:asciiTheme="majorHAnsi" w:hAnsiTheme="majorHAnsi" w:cstheme="majorHAnsi"/>
        </w:rPr>
        <w:t xml:space="preserve">ponovno smo </w:t>
      </w:r>
      <w:r w:rsidRPr="007724EE">
        <w:rPr>
          <w:rFonts w:asciiTheme="majorHAnsi" w:hAnsiTheme="majorHAnsi" w:cstheme="majorHAnsi"/>
        </w:rPr>
        <w:t>ishodili Rješenje Ministarstva poljoprivrede za provođenje izobrazbe za održivu uporabu pesticida</w:t>
      </w:r>
      <w:r w:rsidR="007724EE" w:rsidRPr="007724EE">
        <w:rPr>
          <w:rFonts w:asciiTheme="majorHAnsi" w:hAnsiTheme="majorHAnsi" w:cstheme="majorHAnsi"/>
        </w:rPr>
        <w:t xml:space="preserve"> koje vrijedi idućih 5 godina.</w:t>
      </w:r>
    </w:p>
    <w:p w14:paraId="6A1B755F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3A72B0AD" w14:textId="1AB39B0D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bookmarkStart w:id="1" w:name="_Hlk149285929"/>
      <w:r w:rsidRPr="00892E3D">
        <w:rPr>
          <w:rFonts w:asciiTheme="majorHAnsi" w:hAnsiTheme="majorHAnsi" w:cstheme="majorHAnsi"/>
        </w:rPr>
        <w:t xml:space="preserve">Pučko otvoreno učilište Donja Stubica </w:t>
      </w:r>
      <w:r w:rsidR="006007E8">
        <w:rPr>
          <w:rFonts w:asciiTheme="majorHAnsi" w:hAnsiTheme="majorHAnsi" w:cstheme="majorHAnsi"/>
        </w:rPr>
        <w:t>u</w:t>
      </w:r>
      <w:r w:rsidRPr="00892E3D">
        <w:rPr>
          <w:rFonts w:asciiTheme="majorHAnsi" w:hAnsiTheme="majorHAnsi" w:cstheme="majorHAnsi"/>
        </w:rPr>
        <w:t xml:space="preserve"> 202</w:t>
      </w:r>
      <w:r w:rsidR="00AA2EE2">
        <w:rPr>
          <w:rFonts w:asciiTheme="majorHAnsi" w:hAnsiTheme="majorHAnsi" w:cstheme="majorHAnsi"/>
        </w:rPr>
        <w:t>4</w:t>
      </w:r>
      <w:r w:rsidRPr="00892E3D">
        <w:rPr>
          <w:rFonts w:asciiTheme="majorHAnsi" w:hAnsiTheme="majorHAnsi" w:cstheme="majorHAnsi"/>
        </w:rPr>
        <w:t>. godin</w:t>
      </w:r>
      <w:r w:rsidR="006007E8">
        <w:rPr>
          <w:rFonts w:asciiTheme="majorHAnsi" w:hAnsiTheme="majorHAnsi" w:cstheme="majorHAnsi"/>
        </w:rPr>
        <w:t>i</w:t>
      </w:r>
      <w:r w:rsidRPr="00892E3D">
        <w:rPr>
          <w:rFonts w:asciiTheme="majorHAnsi" w:hAnsiTheme="majorHAnsi" w:cstheme="majorHAnsi"/>
        </w:rPr>
        <w:t xml:space="preserve"> planira obrazovati 1</w:t>
      </w:r>
      <w:r w:rsidR="00AA2EE2">
        <w:rPr>
          <w:rFonts w:asciiTheme="majorHAnsi" w:hAnsiTheme="majorHAnsi" w:cstheme="majorHAnsi"/>
        </w:rPr>
        <w:t>20</w:t>
      </w:r>
      <w:r w:rsidRPr="00892E3D">
        <w:rPr>
          <w:rFonts w:asciiTheme="majorHAnsi" w:hAnsiTheme="majorHAnsi" w:cstheme="majorHAnsi"/>
        </w:rPr>
        <w:t xml:space="preserve"> polaznika</w:t>
      </w:r>
      <w:r w:rsidR="00050041">
        <w:rPr>
          <w:rFonts w:asciiTheme="majorHAnsi" w:hAnsiTheme="majorHAnsi" w:cstheme="majorHAnsi"/>
        </w:rPr>
        <w:t xml:space="preserve"> izobrazbe za pesticide</w:t>
      </w:r>
      <w:r w:rsidR="005C7F57">
        <w:rPr>
          <w:rFonts w:asciiTheme="majorHAnsi" w:hAnsiTheme="majorHAnsi" w:cstheme="majorHAnsi"/>
        </w:rPr>
        <w:t xml:space="preserve"> (osnovna i dopunska izobrazba)</w:t>
      </w:r>
      <w:r w:rsidR="00050041">
        <w:rPr>
          <w:rFonts w:asciiTheme="majorHAnsi" w:hAnsiTheme="majorHAnsi" w:cstheme="majorHAnsi"/>
        </w:rPr>
        <w:t>, dovršiti tečaj engleskog jezika za 30 polaznika u DV Bubamara Donja Stubica koji je počeo u listopadu 2023., a završava u lipnju 2024. te planiramo u listopadu 2024. započeti novi tečaj engleskog jezika u DV Bubamara Donja Stubica za 35 polaznika.</w:t>
      </w:r>
    </w:p>
    <w:bookmarkEnd w:id="1"/>
    <w:p w14:paraId="5CF0BDA7" w14:textId="43BE8AF9" w:rsidR="00317221" w:rsidRDefault="0031722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4373D57A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906548C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5E6EE886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C36E1E7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8DCF0CC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01AF0681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3A7E9C83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1452E688" w14:textId="77777777" w:rsidR="00050041" w:rsidRPr="00892E3D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1AA8A396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Zakonske i druge podloge na kojima se zasniva program rada</w:t>
      </w:r>
    </w:p>
    <w:p w14:paraId="529864E4" w14:textId="77777777" w:rsidR="00317221" w:rsidRPr="00892E3D" w:rsidRDefault="00317221" w:rsidP="00317221">
      <w:pPr>
        <w:pStyle w:val="Odlomakpopisa"/>
        <w:jc w:val="both"/>
        <w:rPr>
          <w:rFonts w:asciiTheme="majorHAnsi" w:hAnsiTheme="majorHAnsi" w:cstheme="majorHAnsi"/>
          <w:b/>
          <w:bCs/>
        </w:rPr>
      </w:pPr>
    </w:p>
    <w:p w14:paraId="3B636FE5" w14:textId="0E9FE150" w:rsidR="00317221" w:rsidRPr="009818D2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>Zakon o ustanovama NN</w:t>
      </w:r>
      <w:r w:rsidR="009818D2">
        <w:rPr>
          <w:rFonts w:asciiTheme="majorHAnsi" w:hAnsiTheme="majorHAnsi" w:cstheme="majorHAnsi"/>
          <w:bCs/>
        </w:rPr>
        <w:t xml:space="preserve"> 76/93, 29/97, 47/99, 35/08, 127/19, 151/22</w:t>
      </w:r>
    </w:p>
    <w:p w14:paraId="5724A43D" w14:textId="264FE693" w:rsidR="00317221" w:rsidRPr="00892E3D" w:rsidRDefault="00317221" w:rsidP="00317221">
      <w:pPr>
        <w:pStyle w:val="Odlomakpopisa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 xml:space="preserve">Zakon o knjižnicama i knjižničnoj djelatnosti NN </w:t>
      </w:r>
      <w:r w:rsidR="009818D2">
        <w:rPr>
          <w:rFonts w:asciiTheme="majorHAnsi" w:hAnsiTheme="majorHAnsi" w:cstheme="majorHAnsi"/>
          <w:bCs/>
        </w:rPr>
        <w:t>17/19, 98/19 i 114/22</w:t>
      </w:r>
    </w:p>
    <w:p w14:paraId="33BDADE0" w14:textId="77777777" w:rsidR="00317221" w:rsidRPr="00892E3D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</w:rPr>
      </w:pPr>
      <w:r w:rsidRPr="00892E3D">
        <w:rPr>
          <w:rFonts w:asciiTheme="majorHAnsi" w:hAnsiTheme="majorHAnsi" w:cstheme="majorHAnsi"/>
          <w:bCs/>
        </w:rPr>
        <w:t>Zakon o pučkim otvorenim učilištima NN 54/97, 5/98, 109/99, 139/10</w:t>
      </w:r>
    </w:p>
    <w:p w14:paraId="0EC42B91" w14:textId="126BE8B5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Zakon o proračunu NN </w:t>
      </w:r>
      <w:r w:rsidR="009818D2">
        <w:rPr>
          <w:rFonts w:asciiTheme="majorHAnsi" w:hAnsiTheme="majorHAnsi" w:cstheme="majorHAnsi"/>
        </w:rPr>
        <w:t>144/21</w:t>
      </w:r>
    </w:p>
    <w:p w14:paraId="16C80E34" w14:textId="7777777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Pravilnik o proračunskim klasifikacijama NN 26/10.</w:t>
      </w:r>
    </w:p>
    <w:p w14:paraId="13D5A108" w14:textId="7777777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Pravilnik o proračunskom računovodstvu i računskom planu NN 124/14</w:t>
      </w:r>
    </w:p>
    <w:p w14:paraId="058F75F8" w14:textId="1E1F32BC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Godišnji plan i program rada Pučkog otvorenog učilišta Donja Stubica za 202</w:t>
      </w:r>
      <w:r w:rsidR="009818D2">
        <w:rPr>
          <w:rFonts w:asciiTheme="majorHAnsi" w:hAnsiTheme="majorHAnsi" w:cstheme="majorHAnsi"/>
        </w:rPr>
        <w:t>4</w:t>
      </w:r>
      <w:r w:rsidRPr="00892E3D">
        <w:rPr>
          <w:rFonts w:asciiTheme="majorHAnsi" w:hAnsiTheme="majorHAnsi" w:cstheme="majorHAnsi"/>
        </w:rPr>
        <w:t xml:space="preserve">. godinu </w:t>
      </w:r>
    </w:p>
    <w:p w14:paraId="741D83B3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500D094A" w14:textId="63CCF49A" w:rsidR="00317221" w:rsidRPr="007724EE" w:rsidRDefault="00317221" w:rsidP="00F16040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7724EE">
        <w:rPr>
          <w:rFonts w:asciiTheme="majorHAnsi" w:hAnsiTheme="majorHAnsi" w:cstheme="majorHAnsi"/>
          <w:b/>
          <w:bCs/>
        </w:rPr>
        <w:t xml:space="preserve">Usklađenost ciljeva, strategija i programa </w:t>
      </w:r>
    </w:p>
    <w:p w14:paraId="75B06BFE" w14:textId="77777777" w:rsidR="007724EE" w:rsidRPr="007724EE" w:rsidRDefault="007724EE" w:rsidP="00317221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327B3EF3" w14:textId="0A6B55BF" w:rsidR="00317221" w:rsidRPr="00892E3D" w:rsidRDefault="00317221" w:rsidP="007724EE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Pučko otvoreno učilište Donja Stubica ima donesen Godišnji plan </w:t>
      </w:r>
      <w:r w:rsidR="00B046CE" w:rsidRPr="00892E3D">
        <w:rPr>
          <w:rFonts w:asciiTheme="majorHAnsi" w:hAnsiTheme="majorHAnsi" w:cstheme="majorHAnsi"/>
        </w:rPr>
        <w:t xml:space="preserve">i program </w:t>
      </w:r>
      <w:r w:rsidRPr="00892E3D">
        <w:rPr>
          <w:rFonts w:asciiTheme="majorHAnsi" w:hAnsiTheme="majorHAnsi" w:cstheme="majorHAnsi"/>
        </w:rPr>
        <w:t>rada. Plan se donosi za fiskalnu godinu, a programi obrazovanja koji započinju krajem jedne godine te završavaju u drugoj godini su uzrok nekim odstupanjima u izvršenju financijskog plana koji se izrađuje za kalendarsku godinu.</w:t>
      </w:r>
    </w:p>
    <w:p w14:paraId="3D2AAD32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0FDBBAA3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Ishodište i pokazatelji na kojima se zasnivaju izračuni i ocjene potrebnih sredstava za</w:t>
      </w:r>
    </w:p>
    <w:p w14:paraId="7B93AFEA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provođenje programa</w:t>
      </w:r>
    </w:p>
    <w:p w14:paraId="6BD0A6C1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</w:rPr>
      </w:pPr>
    </w:p>
    <w:p w14:paraId="3E9A38F8" w14:textId="77777777" w:rsidR="00317221" w:rsidRPr="00892E3D" w:rsidRDefault="00317221" w:rsidP="00317221">
      <w:pPr>
        <w:ind w:firstLine="360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Program redovne djelatnosti dijeli se na:</w:t>
      </w:r>
    </w:p>
    <w:p w14:paraId="3D884980" w14:textId="16E6B1FD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A1025 01 Redovan rad </w:t>
      </w:r>
      <w:r w:rsidR="00105075">
        <w:rPr>
          <w:rFonts w:asciiTheme="majorHAnsi" w:hAnsiTheme="majorHAnsi" w:cstheme="majorHAnsi"/>
          <w:b/>
          <w:bCs/>
        </w:rPr>
        <w:t>P</w:t>
      </w:r>
      <w:r w:rsidRPr="00892E3D">
        <w:rPr>
          <w:rFonts w:asciiTheme="majorHAnsi" w:hAnsiTheme="majorHAnsi" w:cstheme="majorHAnsi"/>
          <w:b/>
          <w:bCs/>
        </w:rPr>
        <w:t>učkog otvorenog učilišta</w:t>
      </w:r>
    </w:p>
    <w:p w14:paraId="30789150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1C6B6D6D" w14:textId="06ABF063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v</w:t>
      </w:r>
      <w:r w:rsidRPr="00892E3D">
        <w:rPr>
          <w:rFonts w:asciiTheme="majorHAnsi" w:hAnsiTheme="majorHAnsi" w:cstheme="majorHAnsi"/>
        </w:rPr>
        <w:t xml:space="preserve">lastiti prihodi,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>pći primici</w:t>
      </w:r>
    </w:p>
    <w:p w14:paraId="6051AD63" w14:textId="5CAB91D7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bookmarkStart w:id="2" w:name="_Hlk56517134"/>
      <w:r w:rsidRPr="00892E3D">
        <w:rPr>
          <w:rFonts w:asciiTheme="majorHAnsi" w:hAnsiTheme="majorHAnsi" w:cstheme="majorHAnsi"/>
          <w:b/>
          <w:bCs/>
        </w:rPr>
        <w:t xml:space="preserve">K1025 01 Opremanje </w:t>
      </w:r>
      <w:r w:rsidR="00105075">
        <w:rPr>
          <w:rFonts w:asciiTheme="majorHAnsi" w:hAnsiTheme="majorHAnsi" w:cstheme="majorHAnsi"/>
          <w:b/>
          <w:bCs/>
        </w:rPr>
        <w:t>P</w:t>
      </w:r>
      <w:r w:rsidRPr="00892E3D">
        <w:rPr>
          <w:rFonts w:asciiTheme="majorHAnsi" w:hAnsiTheme="majorHAnsi" w:cstheme="majorHAnsi"/>
          <w:b/>
          <w:bCs/>
        </w:rPr>
        <w:t>učkog otvorenog učilišta</w:t>
      </w:r>
    </w:p>
    <w:p w14:paraId="3875910C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6A108C96" w14:textId="6F0108DA" w:rsidR="00317221" w:rsidRPr="00892E3D" w:rsidRDefault="00317221" w:rsidP="00A21BF6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v</w:t>
      </w:r>
      <w:r w:rsidRPr="00892E3D">
        <w:rPr>
          <w:rFonts w:asciiTheme="majorHAnsi" w:hAnsiTheme="majorHAnsi" w:cstheme="majorHAnsi"/>
        </w:rPr>
        <w:t xml:space="preserve">lastiti prihodi,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>pći primici</w:t>
      </w:r>
      <w:bookmarkEnd w:id="2"/>
    </w:p>
    <w:p w14:paraId="17EE4DEE" w14:textId="481FCCD8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A1026 01 Redovna djelatnost </w:t>
      </w:r>
      <w:r w:rsidR="00105075">
        <w:rPr>
          <w:rFonts w:asciiTheme="majorHAnsi" w:hAnsiTheme="majorHAnsi" w:cstheme="majorHAnsi"/>
          <w:b/>
          <w:bCs/>
        </w:rPr>
        <w:t>K</w:t>
      </w:r>
      <w:r w:rsidRPr="00892E3D">
        <w:rPr>
          <w:rFonts w:asciiTheme="majorHAnsi" w:hAnsiTheme="majorHAnsi" w:cstheme="majorHAnsi"/>
          <w:b/>
          <w:bCs/>
        </w:rPr>
        <w:t>njižnice</w:t>
      </w:r>
    </w:p>
    <w:p w14:paraId="2C306B78" w14:textId="77777777" w:rsidR="00317221" w:rsidRPr="00892E3D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klasifikacija: 0820 Služba kulture</w:t>
      </w:r>
    </w:p>
    <w:p w14:paraId="389C3B43" w14:textId="7F2E3668" w:rsidR="00A21BF6" w:rsidRPr="00892E3D" w:rsidRDefault="00317221" w:rsidP="00A21BF6">
      <w:pPr>
        <w:ind w:left="1056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 xml:space="preserve">pći primici, </w:t>
      </w:r>
      <w:r w:rsidR="00105075">
        <w:rPr>
          <w:rFonts w:asciiTheme="majorHAnsi" w:hAnsiTheme="majorHAnsi" w:cstheme="majorHAnsi"/>
        </w:rPr>
        <w:t>p</w:t>
      </w:r>
      <w:r w:rsidRPr="00892E3D">
        <w:rPr>
          <w:rFonts w:asciiTheme="majorHAnsi" w:hAnsiTheme="majorHAnsi" w:cstheme="majorHAnsi"/>
        </w:rPr>
        <w:t xml:space="preserve">rimici za posebne namjene </w:t>
      </w:r>
    </w:p>
    <w:p w14:paraId="4C65555A" w14:textId="7DEDBD70" w:rsidR="00317221" w:rsidRPr="00892E3D" w:rsidRDefault="00317221" w:rsidP="00A21BF6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K1026 01 Opremanje </w:t>
      </w:r>
      <w:r w:rsidR="00105075">
        <w:rPr>
          <w:rFonts w:asciiTheme="majorHAnsi" w:hAnsiTheme="majorHAnsi" w:cstheme="majorHAnsi"/>
          <w:b/>
          <w:bCs/>
        </w:rPr>
        <w:t>K</w:t>
      </w:r>
      <w:r w:rsidRPr="00892E3D">
        <w:rPr>
          <w:rFonts w:asciiTheme="majorHAnsi" w:hAnsiTheme="majorHAnsi" w:cstheme="majorHAnsi"/>
          <w:b/>
          <w:bCs/>
        </w:rPr>
        <w:t>njižnice i čitaonice</w:t>
      </w:r>
    </w:p>
    <w:p w14:paraId="668845D8" w14:textId="77777777" w:rsidR="00317221" w:rsidRPr="00830991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Funkcijska klasifikacija: 0820 Služba kulture</w:t>
      </w:r>
    </w:p>
    <w:p w14:paraId="14EC5BBE" w14:textId="6D09CE5C" w:rsidR="00317221" w:rsidRPr="00830991" w:rsidRDefault="00317221" w:rsidP="00317221">
      <w:pPr>
        <w:ind w:left="1056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Izvori financiranja: </w:t>
      </w:r>
      <w:r w:rsidR="00105075" w:rsidRPr="00830991">
        <w:rPr>
          <w:rFonts w:asciiTheme="majorHAnsi" w:hAnsiTheme="majorHAnsi" w:cstheme="majorHAnsi"/>
        </w:rPr>
        <w:t>o</w:t>
      </w:r>
      <w:r w:rsidRPr="00830991">
        <w:rPr>
          <w:rFonts w:asciiTheme="majorHAnsi" w:hAnsiTheme="majorHAnsi" w:cstheme="majorHAnsi"/>
        </w:rPr>
        <w:t xml:space="preserve">pći primici, </w:t>
      </w:r>
      <w:r w:rsidR="00105075" w:rsidRPr="00830991">
        <w:rPr>
          <w:rFonts w:asciiTheme="majorHAnsi" w:hAnsiTheme="majorHAnsi" w:cstheme="majorHAnsi"/>
        </w:rPr>
        <w:t>p</w:t>
      </w:r>
      <w:r w:rsidRPr="00830991">
        <w:rPr>
          <w:rFonts w:asciiTheme="majorHAnsi" w:hAnsiTheme="majorHAnsi" w:cstheme="majorHAnsi"/>
        </w:rPr>
        <w:t xml:space="preserve">rimici za posebne namjene, </w:t>
      </w:r>
      <w:r w:rsidR="00105075" w:rsidRPr="00830991">
        <w:rPr>
          <w:rFonts w:asciiTheme="majorHAnsi" w:hAnsiTheme="majorHAnsi" w:cstheme="majorHAnsi"/>
        </w:rPr>
        <w:t>p</w:t>
      </w:r>
      <w:r w:rsidRPr="00830991">
        <w:rPr>
          <w:rFonts w:asciiTheme="majorHAnsi" w:hAnsiTheme="majorHAnsi" w:cstheme="majorHAnsi"/>
        </w:rPr>
        <w:t>omoći iz proračuna: Ministarstvo kulture, Krapinsko-zagorska županija</w:t>
      </w:r>
    </w:p>
    <w:p w14:paraId="4A884D8E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23827407" w14:textId="0A1E388E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Financijski plan za 202</w:t>
      </w:r>
      <w:r w:rsidR="00AA2EE2" w:rsidRPr="00830991">
        <w:rPr>
          <w:rFonts w:asciiTheme="majorHAnsi" w:hAnsiTheme="majorHAnsi" w:cstheme="majorHAnsi"/>
        </w:rPr>
        <w:t>4</w:t>
      </w:r>
      <w:r w:rsidRPr="00830991">
        <w:rPr>
          <w:rFonts w:asciiTheme="majorHAnsi" w:hAnsiTheme="majorHAnsi" w:cstheme="majorHAnsi"/>
        </w:rPr>
        <w:t xml:space="preserve">. godinu donijet je na temelju </w:t>
      </w:r>
      <w:r w:rsidR="00105075" w:rsidRPr="00830991">
        <w:rPr>
          <w:rFonts w:asciiTheme="majorHAnsi" w:hAnsiTheme="majorHAnsi" w:cstheme="majorHAnsi"/>
        </w:rPr>
        <w:t>financijskog plana iz 2023. godine  i dosadašnjeg izvršenja te uputa i limita osnivača Grada Donja Stubica</w:t>
      </w:r>
      <w:r w:rsidRPr="00830991">
        <w:rPr>
          <w:rFonts w:asciiTheme="majorHAnsi" w:hAnsiTheme="majorHAnsi" w:cstheme="majorHAnsi"/>
        </w:rPr>
        <w:t>.</w:t>
      </w:r>
    </w:p>
    <w:p w14:paraId="5EA9E5F7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36E82220" w14:textId="4B62A0EF" w:rsidR="00317221" w:rsidRPr="00830991" w:rsidRDefault="00317221" w:rsidP="00317221">
      <w:pPr>
        <w:jc w:val="both"/>
        <w:rPr>
          <w:rFonts w:asciiTheme="majorHAnsi" w:hAnsiTheme="majorHAnsi" w:cstheme="majorHAnsi"/>
          <w:color w:val="FF0000"/>
        </w:rPr>
      </w:pPr>
      <w:r w:rsidRPr="00830991">
        <w:rPr>
          <w:rFonts w:asciiTheme="majorHAnsi" w:hAnsiTheme="majorHAnsi" w:cstheme="majorHAnsi"/>
        </w:rPr>
        <w:t xml:space="preserve">U općem dijelu financijskog plana planirani su prihodi u iznosu od </w:t>
      </w:r>
      <w:r w:rsidR="00AA2EE2" w:rsidRPr="00830991">
        <w:rPr>
          <w:rFonts w:asciiTheme="majorHAnsi" w:hAnsiTheme="majorHAnsi" w:cstheme="majorHAnsi"/>
        </w:rPr>
        <w:t>107.000,00</w:t>
      </w:r>
      <w:r w:rsidRPr="00830991">
        <w:rPr>
          <w:rFonts w:asciiTheme="majorHAnsi" w:hAnsiTheme="majorHAnsi" w:cstheme="majorHAnsi"/>
        </w:rPr>
        <w:t xml:space="preserve"> eura i rashodi u iznosu od </w:t>
      </w:r>
      <w:r w:rsidR="00AA2EE2" w:rsidRPr="00830991">
        <w:rPr>
          <w:rFonts w:asciiTheme="majorHAnsi" w:hAnsiTheme="majorHAnsi" w:cstheme="majorHAnsi"/>
        </w:rPr>
        <w:t>107.000,00</w:t>
      </w:r>
      <w:r w:rsidRPr="00830991">
        <w:rPr>
          <w:rFonts w:asciiTheme="majorHAnsi" w:hAnsiTheme="majorHAnsi" w:cstheme="majorHAnsi"/>
        </w:rPr>
        <w:t xml:space="preserve"> eura. </w:t>
      </w:r>
    </w:p>
    <w:p w14:paraId="027206F6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25B4664F" w14:textId="0BA9620D" w:rsidR="00E92A1D" w:rsidRPr="00892E3D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892E3D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t>PRIHODI i PRIMICI</w:t>
      </w:r>
    </w:p>
    <w:p w14:paraId="022EEA52" w14:textId="77777777" w:rsidR="00B046CE" w:rsidRPr="00892E3D" w:rsidRDefault="00B046CE" w:rsidP="00B046CE">
      <w:pPr>
        <w:pStyle w:val="Odlomakpopisa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B9568E" w14:textId="0A59832C" w:rsidR="00B046CE" w:rsidRPr="00830991" w:rsidRDefault="00B046CE" w:rsidP="00B046CE">
      <w:pPr>
        <w:spacing w:line="276" w:lineRule="auto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Prihodi su planirani u ukupnom iznosu od </w:t>
      </w:r>
      <w:r w:rsidR="00AA2EE2" w:rsidRPr="00830991">
        <w:rPr>
          <w:rFonts w:asciiTheme="majorHAnsi" w:hAnsiTheme="majorHAnsi" w:cstheme="majorHAnsi"/>
        </w:rPr>
        <w:t>107.000,00</w:t>
      </w:r>
      <w:r w:rsidRPr="00830991">
        <w:rPr>
          <w:rFonts w:asciiTheme="majorHAnsi" w:hAnsiTheme="majorHAnsi" w:cstheme="majorHAnsi"/>
        </w:rPr>
        <w:t xml:space="preserve"> eura.</w:t>
      </w:r>
    </w:p>
    <w:p w14:paraId="5A841738" w14:textId="77777777" w:rsidR="00E92A1D" w:rsidRPr="00830991" w:rsidRDefault="00E92A1D" w:rsidP="00E94FDB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ab/>
      </w:r>
      <w:r w:rsidRPr="00830991">
        <w:rPr>
          <w:rFonts w:asciiTheme="majorHAnsi" w:hAnsiTheme="majorHAnsi" w:cstheme="majorHAnsi"/>
          <w:lang w:eastAsia="en-US"/>
        </w:rPr>
        <w:tab/>
      </w:r>
    </w:p>
    <w:p w14:paraId="7C7C8BCE" w14:textId="6E5CF874" w:rsidR="00A21BF6" w:rsidRPr="00830991" w:rsidRDefault="00A21BF6" w:rsidP="00A21BF6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U posebnom dijelu financijskog plana planirani su slijedeći prihodi: </w:t>
      </w:r>
    </w:p>
    <w:p w14:paraId="510C4DB4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636 Pomoći proračunskim korisnicima iz proračuna koji im nije nadležan – za nabavu knjižne i neknjižne građe – Ministarstvo kulture i Krapinsko-zagorska županija</w:t>
      </w:r>
    </w:p>
    <w:p w14:paraId="600DD392" w14:textId="0D33C209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641 Prihod od imovine – pripis kamate po žiroračunu</w:t>
      </w:r>
    </w:p>
    <w:p w14:paraId="0D7A786F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652 Prihodi po posebnim propisima - članarina knjižnice i zakasnina za knjige – za pokrivanje rashoda poslovanja knjižnične djelatnosti</w:t>
      </w:r>
    </w:p>
    <w:p w14:paraId="2E6AFF7C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661 Prihodi od pruženih usluga - vlastiti prihodi ostvareni pružanjem usluga obrazovanja na tržištu – za pokrivanje rashoda poslovanja obrazovne djelatnosti</w:t>
      </w:r>
    </w:p>
    <w:p w14:paraId="59D8049F" w14:textId="58F44785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663 Prihodi od donacija – pokloni knjiga od članova knjižnice ili izdavača</w:t>
      </w:r>
    </w:p>
    <w:p w14:paraId="4F363A07" w14:textId="70CE2930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671 Prihodi iz nadležnog proračuna za financiranje redovne djelatnosti proračunskih korisnika – Grad Donja Stubica – za pokrivanje rashoda zaposlenih, materijalnih rashoda, financijskih rashoda te nabav</w:t>
      </w:r>
      <w:r w:rsidR="007724EE">
        <w:rPr>
          <w:rFonts w:asciiTheme="majorHAnsi" w:hAnsiTheme="majorHAnsi" w:cstheme="majorHAnsi"/>
        </w:rPr>
        <w:t>e</w:t>
      </w:r>
      <w:r w:rsidRPr="00830991">
        <w:rPr>
          <w:rFonts w:asciiTheme="majorHAnsi" w:hAnsiTheme="majorHAnsi" w:cstheme="majorHAnsi"/>
        </w:rPr>
        <w:t xml:space="preserve"> dugotrajne nefinancijske imovine.</w:t>
      </w:r>
    </w:p>
    <w:p w14:paraId="47B37118" w14:textId="77777777" w:rsidR="00A21BF6" w:rsidRPr="00892E3D" w:rsidRDefault="00A21BF6" w:rsidP="00E94FDB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</w:pPr>
    </w:p>
    <w:p w14:paraId="0706CA3C" w14:textId="1F1F13F4" w:rsidR="00637117" w:rsidRPr="00830991" w:rsidRDefault="00E92A1D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Pomoći</w:t>
      </w:r>
      <w:r w:rsidRPr="00830991">
        <w:rPr>
          <w:rFonts w:asciiTheme="majorHAnsi" w:hAnsiTheme="majorHAnsi" w:cstheme="majorHAnsi"/>
          <w:lang w:eastAsia="en-US"/>
        </w:rPr>
        <w:t xml:space="preserve"> su planirane u iznosu od </w:t>
      </w:r>
      <w:r w:rsidR="00AA2EE2" w:rsidRPr="00830991">
        <w:rPr>
          <w:rFonts w:asciiTheme="majorHAnsi" w:hAnsiTheme="majorHAnsi" w:cstheme="majorHAnsi"/>
          <w:lang w:eastAsia="en-US"/>
        </w:rPr>
        <w:t>8.650,00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 (Ministarstvo kulture </w:t>
      </w:r>
      <w:r w:rsidR="00AA2EE2" w:rsidRPr="00830991">
        <w:rPr>
          <w:rFonts w:asciiTheme="majorHAnsi" w:hAnsiTheme="majorHAnsi" w:cstheme="majorHAnsi"/>
          <w:lang w:eastAsia="en-US"/>
        </w:rPr>
        <w:t>7.950,00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, Krapinsko-zagorska županija </w:t>
      </w:r>
      <w:r w:rsidR="00AA2EE2" w:rsidRPr="00830991">
        <w:rPr>
          <w:rFonts w:asciiTheme="majorHAnsi" w:hAnsiTheme="majorHAnsi" w:cstheme="majorHAnsi"/>
          <w:lang w:eastAsia="en-US"/>
        </w:rPr>
        <w:t>700,00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</w:t>
      </w:r>
      <w:r w:rsidR="00AA2EE2" w:rsidRPr="00830991">
        <w:rPr>
          <w:rFonts w:asciiTheme="majorHAnsi" w:hAnsiTheme="majorHAnsi" w:cstheme="majorHAnsi"/>
          <w:lang w:eastAsia="en-US"/>
        </w:rPr>
        <w:t>a</w:t>
      </w:r>
      <w:r w:rsidRPr="00830991">
        <w:rPr>
          <w:rFonts w:asciiTheme="majorHAnsi" w:hAnsiTheme="majorHAnsi" w:cstheme="majorHAnsi"/>
          <w:lang w:eastAsia="en-US"/>
        </w:rPr>
        <w:t>) a odnose na nabavu knjižne građe</w:t>
      </w:r>
      <w:r w:rsidR="00637117" w:rsidRPr="00830991">
        <w:rPr>
          <w:rFonts w:asciiTheme="majorHAnsi" w:hAnsiTheme="majorHAnsi" w:cstheme="majorHAnsi"/>
          <w:lang w:eastAsia="en-US"/>
        </w:rPr>
        <w:t>.</w:t>
      </w:r>
      <w:r w:rsidRPr="00830991">
        <w:rPr>
          <w:rFonts w:asciiTheme="majorHAnsi" w:hAnsiTheme="majorHAnsi" w:cstheme="majorHAnsi"/>
          <w:lang w:eastAsia="en-US"/>
        </w:rPr>
        <w:t xml:space="preserve"> </w:t>
      </w:r>
    </w:p>
    <w:p w14:paraId="18863DDD" w14:textId="6738BFE8" w:rsidR="002F05EB" w:rsidRPr="00830991" w:rsidRDefault="00A21BF6" w:rsidP="00EC2363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Pučko otvoreno učilište Donja Stubica svake se godine javlja na natječaj Ministarstvo kulture za nabavu knjižne i neknjižne građe te se planira, na temelju prethodnih godina, primiti sredstva u iznosu od </w:t>
      </w:r>
      <w:r w:rsidR="00AA2EE2" w:rsidRPr="00830991">
        <w:rPr>
          <w:rFonts w:asciiTheme="majorHAnsi" w:hAnsiTheme="majorHAnsi" w:cstheme="majorHAnsi"/>
        </w:rPr>
        <w:t>2.950,00</w:t>
      </w:r>
      <w:r w:rsidRPr="00830991">
        <w:rPr>
          <w:rFonts w:asciiTheme="majorHAnsi" w:hAnsiTheme="majorHAnsi" w:cstheme="majorHAnsi"/>
        </w:rPr>
        <w:t xml:space="preserve"> eura.</w:t>
      </w:r>
      <w:r w:rsidR="00AA2EE2" w:rsidRPr="00830991">
        <w:rPr>
          <w:rFonts w:asciiTheme="majorHAnsi" w:hAnsiTheme="majorHAnsi" w:cstheme="majorHAnsi"/>
        </w:rPr>
        <w:t xml:space="preserve"> Od 2023. godine promijenio se način otkupa knjiga Ministarstva kulture. Od sada Knjižnice moraju putem prijavnice iskazati interes za otkup knjiga, a Ministarstvo kulture na temelju iskazanog interesa </w:t>
      </w:r>
      <w:r w:rsidR="007724EE">
        <w:rPr>
          <w:rFonts w:asciiTheme="majorHAnsi" w:hAnsiTheme="majorHAnsi" w:cstheme="majorHAnsi"/>
        </w:rPr>
        <w:t>K</w:t>
      </w:r>
      <w:r w:rsidR="00AA2EE2" w:rsidRPr="00830991">
        <w:rPr>
          <w:rFonts w:asciiTheme="majorHAnsi" w:hAnsiTheme="majorHAnsi" w:cstheme="majorHAnsi"/>
        </w:rPr>
        <w:t xml:space="preserve">njižnici doznačuje sredstava te ona sama nabavlja knjige koje se nalaze na popisu otkupa. Tako je za 2024. godinu planirano primiti sredstava u iznosu od 5.000,00 eura. </w:t>
      </w:r>
      <w:r w:rsidR="005C7F57">
        <w:rPr>
          <w:rFonts w:asciiTheme="majorHAnsi" w:hAnsiTheme="majorHAnsi" w:cstheme="majorHAnsi"/>
        </w:rPr>
        <w:t>Na ovaj način došlo je do smanjenja broja knjiga koje je Knjižnica Donja Stubica do sada dobivala otkupom Ministarstva kulture, što na godišnjoj razini iznosi za 45% manja nabava knjižne građe.</w:t>
      </w:r>
    </w:p>
    <w:p w14:paraId="6B23D5F5" w14:textId="0EF3D962" w:rsidR="00A21BF6" w:rsidRPr="00830991" w:rsidRDefault="002F05EB" w:rsidP="008D067E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</w:rPr>
        <w:t>Također, od 2023. godine se i za sredstva za nabavu knjiga financiranih od</w:t>
      </w:r>
      <w:r w:rsidR="00A21BF6" w:rsidRPr="00830991">
        <w:rPr>
          <w:rFonts w:asciiTheme="majorHAnsi" w:hAnsiTheme="majorHAnsi" w:cstheme="majorHAnsi"/>
        </w:rPr>
        <w:t xml:space="preserve"> Krapinsko-zagorske županije </w:t>
      </w:r>
      <w:r w:rsidRPr="00830991">
        <w:rPr>
          <w:rFonts w:asciiTheme="majorHAnsi" w:hAnsiTheme="majorHAnsi" w:cstheme="majorHAnsi"/>
        </w:rPr>
        <w:t xml:space="preserve">potrebno prijavljivati putem natječaja, te </w:t>
      </w:r>
      <w:r w:rsidR="008D067E">
        <w:rPr>
          <w:rFonts w:asciiTheme="majorHAnsi" w:hAnsiTheme="majorHAnsi" w:cstheme="majorHAnsi"/>
        </w:rPr>
        <w:t>smo za 2024. godinu sredstvima Krapinsko-zagorske županije planirali nabavu knjižne građe za 700,00 eura ukoliko prijava bude odobrena.</w:t>
      </w:r>
    </w:p>
    <w:p w14:paraId="325ED1EB" w14:textId="77777777" w:rsidR="008D067E" w:rsidRPr="008D067E" w:rsidRDefault="008D067E" w:rsidP="00EC2363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12"/>
          <w:szCs w:val="12"/>
          <w:lang w:eastAsia="en-US"/>
        </w:rPr>
      </w:pPr>
    </w:p>
    <w:p w14:paraId="3F5FB44A" w14:textId="3BE7456A" w:rsidR="00637117" w:rsidRPr="00830991" w:rsidRDefault="00637117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Prihodi od imovine</w:t>
      </w:r>
      <w:r w:rsidRPr="00830991">
        <w:rPr>
          <w:rFonts w:asciiTheme="majorHAnsi" w:hAnsiTheme="majorHAnsi" w:cstheme="majorHAnsi"/>
          <w:lang w:eastAsia="en-US"/>
        </w:rPr>
        <w:t xml:space="preserve">  </w:t>
      </w:r>
      <w:r w:rsidR="00A21BF6" w:rsidRPr="00830991">
        <w:rPr>
          <w:rFonts w:asciiTheme="majorHAnsi" w:hAnsiTheme="majorHAnsi" w:cstheme="majorHAnsi"/>
          <w:lang w:eastAsia="en-US"/>
        </w:rPr>
        <w:t xml:space="preserve">planira se u </w:t>
      </w:r>
      <w:r w:rsidR="005C2177" w:rsidRPr="00830991">
        <w:rPr>
          <w:rFonts w:asciiTheme="majorHAnsi" w:hAnsiTheme="majorHAnsi" w:cstheme="majorHAnsi"/>
          <w:lang w:eastAsia="en-US"/>
        </w:rPr>
        <w:t>iznos</w:t>
      </w:r>
      <w:r w:rsidR="00A21BF6" w:rsidRPr="00830991">
        <w:rPr>
          <w:rFonts w:asciiTheme="majorHAnsi" w:hAnsiTheme="majorHAnsi" w:cstheme="majorHAnsi"/>
          <w:lang w:eastAsia="en-US"/>
        </w:rPr>
        <w:t>u</w:t>
      </w:r>
      <w:r w:rsidR="005C2177" w:rsidRPr="00830991">
        <w:rPr>
          <w:rFonts w:asciiTheme="majorHAnsi" w:hAnsiTheme="majorHAnsi" w:cstheme="majorHAnsi"/>
          <w:lang w:eastAsia="en-US"/>
        </w:rPr>
        <w:t xml:space="preserve"> </w:t>
      </w:r>
      <w:r w:rsidR="008A3AB6" w:rsidRPr="00830991">
        <w:rPr>
          <w:rFonts w:asciiTheme="majorHAnsi" w:hAnsiTheme="majorHAnsi" w:cstheme="majorHAnsi"/>
          <w:lang w:eastAsia="en-US"/>
        </w:rPr>
        <w:t>1,00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</w:t>
      </w:r>
      <w:r w:rsidR="008A3AB6" w:rsidRPr="00830991">
        <w:rPr>
          <w:rFonts w:asciiTheme="majorHAnsi" w:hAnsiTheme="majorHAnsi" w:cstheme="majorHAnsi"/>
          <w:lang w:eastAsia="en-US"/>
        </w:rPr>
        <w:t>o</w:t>
      </w:r>
      <w:r w:rsidR="005C2177" w:rsidRPr="00830991">
        <w:rPr>
          <w:rFonts w:asciiTheme="majorHAnsi" w:hAnsiTheme="majorHAnsi" w:cstheme="majorHAnsi"/>
          <w:lang w:eastAsia="en-US"/>
        </w:rPr>
        <w:t xml:space="preserve">, </w:t>
      </w:r>
      <w:r w:rsidR="00E94FDB" w:rsidRPr="00830991">
        <w:rPr>
          <w:rFonts w:asciiTheme="majorHAnsi" w:hAnsiTheme="majorHAnsi" w:cstheme="majorHAnsi"/>
          <w:lang w:eastAsia="en-US"/>
        </w:rPr>
        <w:t xml:space="preserve">a </w:t>
      </w:r>
      <w:r w:rsidR="00FC1012" w:rsidRPr="00830991">
        <w:rPr>
          <w:rFonts w:asciiTheme="majorHAnsi" w:hAnsiTheme="majorHAnsi" w:cstheme="majorHAnsi"/>
          <w:lang w:eastAsia="en-US"/>
        </w:rPr>
        <w:t>odnos</w:t>
      </w:r>
      <w:r w:rsidR="00E94FDB" w:rsidRPr="00830991">
        <w:rPr>
          <w:rFonts w:asciiTheme="majorHAnsi" w:hAnsiTheme="majorHAnsi" w:cstheme="majorHAnsi"/>
          <w:lang w:eastAsia="en-US"/>
        </w:rPr>
        <w:t>e</w:t>
      </w:r>
      <w:r w:rsidR="00FC1012" w:rsidRPr="00830991">
        <w:rPr>
          <w:rFonts w:asciiTheme="majorHAnsi" w:hAnsiTheme="majorHAnsi" w:cstheme="majorHAnsi"/>
          <w:lang w:eastAsia="en-US"/>
        </w:rPr>
        <w:t xml:space="preserve"> se na  </w:t>
      </w:r>
      <w:r w:rsidRPr="00830991">
        <w:rPr>
          <w:rFonts w:asciiTheme="majorHAnsi" w:hAnsiTheme="majorHAnsi" w:cstheme="majorHAnsi"/>
          <w:lang w:eastAsia="en-US"/>
        </w:rPr>
        <w:t>kamate na depozite po viđenju</w:t>
      </w:r>
      <w:r w:rsidR="008A3AB6" w:rsidRPr="00830991">
        <w:rPr>
          <w:rFonts w:asciiTheme="majorHAnsi" w:hAnsiTheme="majorHAnsi" w:cstheme="majorHAnsi"/>
          <w:lang w:eastAsia="en-US"/>
        </w:rPr>
        <w:t>.</w:t>
      </w:r>
    </w:p>
    <w:p w14:paraId="52952956" w14:textId="77777777" w:rsidR="00637117" w:rsidRPr="008D067E" w:rsidRDefault="00637117" w:rsidP="00EC2363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22B17A3D" w14:textId="7351E909" w:rsidR="00FC1012" w:rsidRPr="00830991" w:rsidRDefault="00FC101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Prihodi od upravnih i administrativnih pristojbi, pristojbi po posebnim propisima i naknada</w:t>
      </w:r>
      <w:r w:rsidRPr="00830991">
        <w:rPr>
          <w:rFonts w:asciiTheme="majorHAnsi" w:hAnsiTheme="majorHAnsi" w:cstheme="majorHAnsi"/>
          <w:lang w:eastAsia="en-US"/>
        </w:rPr>
        <w:t xml:space="preserve"> su planirani u iznosu od </w:t>
      </w:r>
      <w:r w:rsidR="00CB3552" w:rsidRPr="00830991">
        <w:rPr>
          <w:rFonts w:asciiTheme="majorHAnsi" w:hAnsiTheme="majorHAnsi" w:cstheme="majorHAnsi"/>
          <w:lang w:eastAsia="en-US"/>
        </w:rPr>
        <w:t>2.</w:t>
      </w:r>
      <w:r w:rsidR="008A3AB6" w:rsidRPr="00830991">
        <w:rPr>
          <w:rFonts w:asciiTheme="majorHAnsi" w:hAnsiTheme="majorHAnsi" w:cstheme="majorHAnsi"/>
          <w:lang w:eastAsia="en-US"/>
        </w:rPr>
        <w:t>000,00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 a odnose se na prihod od članarine knjižnice u iznosu od </w:t>
      </w:r>
      <w:r w:rsidR="00CB3552" w:rsidRPr="00830991">
        <w:rPr>
          <w:rFonts w:asciiTheme="majorHAnsi" w:hAnsiTheme="majorHAnsi" w:cstheme="majorHAnsi"/>
          <w:lang w:eastAsia="en-US"/>
        </w:rPr>
        <w:t>1.</w:t>
      </w:r>
      <w:r w:rsidR="008A3AB6" w:rsidRPr="00830991">
        <w:rPr>
          <w:rFonts w:asciiTheme="majorHAnsi" w:hAnsiTheme="majorHAnsi" w:cstheme="majorHAnsi"/>
          <w:lang w:eastAsia="en-US"/>
        </w:rPr>
        <w:t>500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, te na prihod od naplate zakasnine za knjige </w:t>
      </w:r>
      <w:r w:rsidR="008A3AB6" w:rsidRPr="00830991">
        <w:rPr>
          <w:rFonts w:asciiTheme="majorHAnsi" w:hAnsiTheme="majorHAnsi" w:cstheme="majorHAnsi"/>
          <w:lang w:eastAsia="en-US"/>
        </w:rPr>
        <w:t>500,00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. </w:t>
      </w:r>
    </w:p>
    <w:p w14:paraId="148CDE25" w14:textId="0DAB4357" w:rsidR="00FC1012" w:rsidRPr="008D067E" w:rsidRDefault="00FC1012" w:rsidP="00EC2363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236AE1FC" w14:textId="54B2B169" w:rsidR="007724EE" w:rsidRPr="00892E3D" w:rsidRDefault="00FC1012" w:rsidP="007724EE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Prihodi od prodaje proizvoda i robe 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te pru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2AF45"/>
          <w:lang w:eastAsia="en-US"/>
        </w:rPr>
        <w:t xml:space="preserve">ženih 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usluga </w:t>
      </w: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i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 prihodi od</w:t>
      </w: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 donacija</w:t>
      </w:r>
      <w:r w:rsidRPr="00830991">
        <w:rPr>
          <w:rFonts w:asciiTheme="majorHAnsi" w:hAnsiTheme="majorHAnsi" w:cstheme="majorHAnsi"/>
          <w:lang w:eastAsia="en-US"/>
        </w:rPr>
        <w:t xml:space="preserve"> </w:t>
      </w:r>
      <w:r w:rsidR="00CB3552" w:rsidRPr="00830991">
        <w:rPr>
          <w:rFonts w:asciiTheme="majorHAnsi" w:hAnsiTheme="majorHAnsi" w:cstheme="majorHAnsi"/>
          <w:lang w:eastAsia="en-US"/>
        </w:rPr>
        <w:t xml:space="preserve">planirani su u iznosu od  </w:t>
      </w:r>
      <w:r w:rsidR="008A3AB6" w:rsidRPr="00830991">
        <w:rPr>
          <w:rFonts w:asciiTheme="majorHAnsi" w:hAnsiTheme="majorHAnsi" w:cstheme="majorHAnsi"/>
          <w:lang w:eastAsia="en-US"/>
        </w:rPr>
        <w:t>9.299,00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 prema </w:t>
      </w:r>
      <w:r w:rsidR="008D067E">
        <w:rPr>
          <w:rFonts w:asciiTheme="majorHAnsi" w:hAnsiTheme="majorHAnsi" w:cstheme="majorHAnsi"/>
          <w:lang w:eastAsia="en-US"/>
        </w:rPr>
        <w:t>planiranim cijenama</w:t>
      </w:r>
      <w:r w:rsidR="00CB3552" w:rsidRPr="00830991">
        <w:rPr>
          <w:rFonts w:asciiTheme="majorHAnsi" w:hAnsiTheme="majorHAnsi" w:cstheme="majorHAnsi"/>
          <w:lang w:eastAsia="en-US"/>
        </w:rPr>
        <w:t xml:space="preserve"> za programe osposobljavanja i usavršavanja te </w:t>
      </w:r>
      <w:r w:rsidR="008D067E">
        <w:rPr>
          <w:rFonts w:asciiTheme="majorHAnsi" w:hAnsiTheme="majorHAnsi" w:cstheme="majorHAnsi"/>
          <w:lang w:eastAsia="en-US"/>
        </w:rPr>
        <w:t xml:space="preserve">ostale </w:t>
      </w:r>
      <w:r w:rsidR="00CB3552" w:rsidRPr="00830991">
        <w:rPr>
          <w:rFonts w:asciiTheme="majorHAnsi" w:hAnsiTheme="majorHAnsi" w:cstheme="majorHAnsi"/>
          <w:lang w:eastAsia="en-US"/>
        </w:rPr>
        <w:t>neformaln</w:t>
      </w:r>
      <w:r w:rsidR="008D067E">
        <w:rPr>
          <w:rFonts w:asciiTheme="majorHAnsi" w:hAnsiTheme="majorHAnsi" w:cstheme="majorHAnsi"/>
          <w:lang w:eastAsia="en-US"/>
        </w:rPr>
        <w:t>e</w:t>
      </w:r>
      <w:r w:rsidR="00CB3552" w:rsidRPr="00830991">
        <w:rPr>
          <w:rFonts w:asciiTheme="majorHAnsi" w:hAnsiTheme="majorHAnsi" w:cstheme="majorHAnsi"/>
          <w:lang w:eastAsia="en-US"/>
        </w:rPr>
        <w:t xml:space="preserve"> program</w:t>
      </w:r>
      <w:r w:rsidR="008D067E">
        <w:rPr>
          <w:rFonts w:asciiTheme="majorHAnsi" w:hAnsiTheme="majorHAnsi" w:cstheme="majorHAnsi"/>
          <w:lang w:eastAsia="en-US"/>
        </w:rPr>
        <w:t xml:space="preserve">e </w:t>
      </w:r>
      <w:r w:rsidR="00CB3552" w:rsidRPr="00830991">
        <w:rPr>
          <w:rFonts w:asciiTheme="majorHAnsi" w:hAnsiTheme="majorHAnsi" w:cstheme="majorHAnsi"/>
          <w:lang w:eastAsia="en-US"/>
        </w:rPr>
        <w:t>Pučkog otvorenog učilišta Donja Stubica. Prema godišnjem planu i programu rada za 202</w:t>
      </w:r>
      <w:r w:rsidR="008A3AB6" w:rsidRPr="00830991">
        <w:rPr>
          <w:rFonts w:asciiTheme="majorHAnsi" w:hAnsiTheme="majorHAnsi" w:cstheme="majorHAnsi"/>
          <w:lang w:eastAsia="en-US"/>
        </w:rPr>
        <w:t>4</w:t>
      </w:r>
      <w:r w:rsidR="00CB3552" w:rsidRPr="00830991">
        <w:rPr>
          <w:rFonts w:asciiTheme="majorHAnsi" w:hAnsiTheme="majorHAnsi" w:cstheme="majorHAnsi"/>
          <w:lang w:eastAsia="en-US"/>
        </w:rPr>
        <w:t xml:space="preserve">. godinu </w:t>
      </w:r>
      <w:r w:rsidR="007724EE" w:rsidRPr="00892E3D">
        <w:rPr>
          <w:rFonts w:asciiTheme="majorHAnsi" w:hAnsiTheme="majorHAnsi" w:cstheme="majorHAnsi"/>
        </w:rPr>
        <w:t xml:space="preserve">Pučko otvoreno učilište Donja Stubica </w:t>
      </w:r>
      <w:r w:rsidR="007724EE">
        <w:rPr>
          <w:rFonts w:asciiTheme="majorHAnsi" w:hAnsiTheme="majorHAnsi" w:cstheme="majorHAnsi"/>
        </w:rPr>
        <w:t>u</w:t>
      </w:r>
      <w:r w:rsidR="007724EE" w:rsidRPr="00892E3D">
        <w:rPr>
          <w:rFonts w:asciiTheme="majorHAnsi" w:hAnsiTheme="majorHAnsi" w:cstheme="majorHAnsi"/>
        </w:rPr>
        <w:t xml:space="preserve"> 202</w:t>
      </w:r>
      <w:r w:rsidR="007724EE">
        <w:rPr>
          <w:rFonts w:asciiTheme="majorHAnsi" w:hAnsiTheme="majorHAnsi" w:cstheme="majorHAnsi"/>
        </w:rPr>
        <w:t>4</w:t>
      </w:r>
      <w:r w:rsidR="007724EE" w:rsidRPr="00892E3D">
        <w:rPr>
          <w:rFonts w:asciiTheme="majorHAnsi" w:hAnsiTheme="majorHAnsi" w:cstheme="majorHAnsi"/>
        </w:rPr>
        <w:t>. godin</w:t>
      </w:r>
      <w:r w:rsidR="007724EE">
        <w:rPr>
          <w:rFonts w:asciiTheme="majorHAnsi" w:hAnsiTheme="majorHAnsi" w:cstheme="majorHAnsi"/>
        </w:rPr>
        <w:t>i</w:t>
      </w:r>
      <w:r w:rsidR="007724EE" w:rsidRPr="00892E3D">
        <w:rPr>
          <w:rFonts w:asciiTheme="majorHAnsi" w:hAnsiTheme="majorHAnsi" w:cstheme="majorHAnsi"/>
        </w:rPr>
        <w:t xml:space="preserve"> planira obrazovati 1</w:t>
      </w:r>
      <w:r w:rsidR="007724EE">
        <w:rPr>
          <w:rFonts w:asciiTheme="majorHAnsi" w:hAnsiTheme="majorHAnsi" w:cstheme="majorHAnsi"/>
        </w:rPr>
        <w:t>20</w:t>
      </w:r>
      <w:r w:rsidR="007724EE" w:rsidRPr="00892E3D">
        <w:rPr>
          <w:rFonts w:asciiTheme="majorHAnsi" w:hAnsiTheme="majorHAnsi" w:cstheme="majorHAnsi"/>
        </w:rPr>
        <w:t xml:space="preserve"> polaznika</w:t>
      </w:r>
      <w:r w:rsidR="007724EE">
        <w:rPr>
          <w:rFonts w:asciiTheme="majorHAnsi" w:hAnsiTheme="majorHAnsi" w:cstheme="majorHAnsi"/>
        </w:rPr>
        <w:t xml:space="preserve"> izobrazbe za pesticide</w:t>
      </w:r>
      <w:r w:rsidR="008D067E">
        <w:rPr>
          <w:rFonts w:asciiTheme="majorHAnsi" w:hAnsiTheme="majorHAnsi" w:cstheme="majorHAnsi"/>
        </w:rPr>
        <w:t xml:space="preserve"> (osnovna i dopunska izobrazba)</w:t>
      </w:r>
      <w:r w:rsidR="007724EE">
        <w:rPr>
          <w:rFonts w:asciiTheme="majorHAnsi" w:hAnsiTheme="majorHAnsi" w:cstheme="majorHAnsi"/>
        </w:rPr>
        <w:t>, dovršiti tečaj engleskog jezika za 30 polaznika u DV Bubamara Donja Stubica koji je počeo u listopadu 2023., a završava u lipnju 2024. te planira u listopadu 2024. započeti novi tečaj engleskog jezika u DV Bubamara Donja Stubica za 35 polaznika.</w:t>
      </w:r>
    </w:p>
    <w:p w14:paraId="6D246E9E" w14:textId="566C42B5" w:rsidR="00CB3552" w:rsidRPr="00830991" w:rsidRDefault="00CB3552" w:rsidP="00EC2363">
      <w:pPr>
        <w:jc w:val="both"/>
        <w:rPr>
          <w:rFonts w:asciiTheme="majorHAnsi" w:hAnsiTheme="majorHAnsi" w:cstheme="majorHAnsi"/>
          <w:lang w:eastAsia="en-US"/>
        </w:rPr>
      </w:pPr>
    </w:p>
    <w:p w14:paraId="5892A5B5" w14:textId="29B4851B" w:rsidR="00CB3552" w:rsidRPr="00830991" w:rsidRDefault="00CB355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0A723CB6" w14:textId="0754B66A" w:rsidR="00D10AF1" w:rsidRPr="00830991" w:rsidRDefault="006770F3" w:rsidP="00EC236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  <w:color w:val="72AF45"/>
        </w:rPr>
        <w:t>P</w:t>
      </w:r>
      <w:r w:rsidR="00D10AF1" w:rsidRPr="00830991">
        <w:rPr>
          <w:rFonts w:asciiTheme="majorHAnsi" w:hAnsiTheme="majorHAnsi" w:cstheme="majorHAnsi"/>
          <w:b/>
          <w:bCs/>
          <w:i/>
          <w:iCs/>
          <w:color w:val="72AF45"/>
        </w:rPr>
        <w:t>rihod od donacija</w:t>
      </w:r>
      <w:r>
        <w:rPr>
          <w:rFonts w:asciiTheme="majorHAnsi" w:hAnsiTheme="majorHAnsi" w:cstheme="majorHAnsi"/>
          <w:b/>
          <w:bCs/>
          <w:i/>
          <w:iCs/>
          <w:color w:val="72AF45"/>
        </w:rPr>
        <w:t xml:space="preserve"> </w:t>
      </w:r>
      <w:r w:rsidRPr="006770F3">
        <w:rPr>
          <w:rFonts w:asciiTheme="majorHAnsi" w:hAnsiTheme="majorHAnsi" w:cstheme="majorHAnsi"/>
        </w:rPr>
        <w:t>se planira</w:t>
      </w:r>
      <w:r w:rsidR="00D10AF1" w:rsidRPr="006770F3">
        <w:rPr>
          <w:rFonts w:asciiTheme="majorHAnsi" w:hAnsiTheme="majorHAnsi" w:cstheme="majorHAnsi"/>
        </w:rPr>
        <w:t xml:space="preserve"> </w:t>
      </w:r>
      <w:r w:rsidR="00D10AF1" w:rsidRPr="00830991">
        <w:rPr>
          <w:rFonts w:asciiTheme="majorHAnsi" w:hAnsiTheme="majorHAnsi" w:cstheme="majorHAnsi"/>
        </w:rPr>
        <w:t xml:space="preserve">u iznosu od </w:t>
      </w:r>
      <w:r w:rsidR="008A3AB6" w:rsidRPr="00830991">
        <w:rPr>
          <w:rFonts w:asciiTheme="majorHAnsi" w:hAnsiTheme="majorHAnsi" w:cstheme="majorHAnsi"/>
        </w:rPr>
        <w:t>50</w:t>
      </w:r>
      <w:r w:rsidR="00D10AF1" w:rsidRPr="00830991">
        <w:rPr>
          <w:rFonts w:asciiTheme="majorHAnsi" w:hAnsiTheme="majorHAnsi" w:cstheme="majorHAnsi"/>
        </w:rPr>
        <w:t xml:space="preserve"> eura, a odnosi se na primitak poklona knjiga od članova knjižnice i izdavača. </w:t>
      </w:r>
    </w:p>
    <w:p w14:paraId="7B77589E" w14:textId="33557F5F" w:rsidR="00FC1012" w:rsidRPr="008D067E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50CB7C96" w14:textId="1A00BEA5" w:rsidR="00D10AF1" w:rsidRPr="00892E3D" w:rsidRDefault="0061336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Prihodi iz nadležnog proračuna </w:t>
      </w:r>
      <w:r w:rsidRPr="00830991">
        <w:rPr>
          <w:rFonts w:asciiTheme="majorHAnsi" w:hAnsiTheme="majorHAnsi" w:cstheme="majorHAnsi"/>
          <w:lang w:eastAsia="en-US"/>
        </w:rPr>
        <w:t xml:space="preserve">su planirani u iznosu od </w:t>
      </w:r>
      <w:r w:rsidR="008A3AB6" w:rsidRPr="00830991">
        <w:rPr>
          <w:rFonts w:asciiTheme="majorHAnsi" w:hAnsiTheme="majorHAnsi" w:cstheme="majorHAnsi"/>
          <w:lang w:eastAsia="en-US"/>
        </w:rPr>
        <w:t>87.000,00</w:t>
      </w:r>
      <w:r w:rsidR="00D10AF1" w:rsidRPr="00830991">
        <w:rPr>
          <w:rFonts w:asciiTheme="majorHAnsi" w:hAnsiTheme="majorHAnsi" w:cstheme="majorHAnsi"/>
          <w:lang w:eastAsia="en-US"/>
        </w:rPr>
        <w:t xml:space="preserve"> eura. Pučkom otvorenom učilištu Donja Stubica osnivač je Grad Donja Stubica, te prema Uputama i određenim limitima Grada Donja Stubica</w:t>
      </w:r>
      <w:r w:rsidR="00D10AF1" w:rsidRPr="00892E3D">
        <w:rPr>
          <w:rFonts w:asciiTheme="majorHAnsi" w:hAnsiTheme="majorHAnsi" w:cstheme="majorHAnsi"/>
          <w:lang w:eastAsia="en-US"/>
        </w:rPr>
        <w:t xml:space="preserve"> za 202</w:t>
      </w:r>
      <w:r w:rsidR="008A3AB6">
        <w:rPr>
          <w:rFonts w:asciiTheme="majorHAnsi" w:hAnsiTheme="majorHAnsi" w:cstheme="majorHAnsi"/>
          <w:lang w:eastAsia="en-US"/>
        </w:rPr>
        <w:t>4</w:t>
      </w:r>
      <w:r w:rsidR="00D10AF1" w:rsidRPr="00892E3D">
        <w:rPr>
          <w:rFonts w:asciiTheme="majorHAnsi" w:hAnsiTheme="majorHAnsi" w:cstheme="majorHAnsi"/>
          <w:lang w:eastAsia="en-US"/>
        </w:rPr>
        <w:t xml:space="preserve">. godinu Pučkom otvorenom učilištu Donja Stubica za redovno poslovanje Učilišta i Knjižnice planirano je </w:t>
      </w:r>
      <w:r w:rsidR="008A3AB6">
        <w:rPr>
          <w:rFonts w:asciiTheme="majorHAnsi" w:hAnsiTheme="majorHAnsi" w:cstheme="majorHAnsi"/>
          <w:lang w:eastAsia="en-US"/>
        </w:rPr>
        <w:t>84.9</w:t>
      </w:r>
      <w:r w:rsidR="00EC2363">
        <w:rPr>
          <w:rFonts w:asciiTheme="majorHAnsi" w:hAnsiTheme="majorHAnsi" w:cstheme="majorHAnsi"/>
          <w:lang w:eastAsia="en-US"/>
        </w:rPr>
        <w:t>0</w:t>
      </w:r>
      <w:r w:rsidR="008A3AB6">
        <w:rPr>
          <w:rFonts w:asciiTheme="majorHAnsi" w:hAnsiTheme="majorHAnsi" w:cstheme="majorHAnsi"/>
          <w:lang w:eastAsia="en-US"/>
        </w:rPr>
        <w:t>0,00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redovnu djelatnost te </w:t>
      </w:r>
      <w:r w:rsidR="008A3AB6">
        <w:rPr>
          <w:rFonts w:asciiTheme="majorHAnsi" w:hAnsiTheme="majorHAnsi" w:cstheme="majorHAnsi"/>
          <w:lang w:eastAsia="en-US"/>
        </w:rPr>
        <w:t>2.</w:t>
      </w:r>
      <w:r w:rsidR="00EC2363">
        <w:rPr>
          <w:rFonts w:asciiTheme="majorHAnsi" w:hAnsiTheme="majorHAnsi" w:cstheme="majorHAnsi"/>
          <w:lang w:eastAsia="en-US"/>
        </w:rPr>
        <w:t>10</w:t>
      </w:r>
      <w:r w:rsidR="008A3AB6">
        <w:rPr>
          <w:rFonts w:asciiTheme="majorHAnsi" w:hAnsiTheme="majorHAnsi" w:cstheme="majorHAnsi"/>
          <w:lang w:eastAsia="en-US"/>
        </w:rPr>
        <w:t>0,00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nabavu knjižne i neknjižne građe</w:t>
      </w:r>
      <w:r w:rsidR="001D7280" w:rsidRPr="00892E3D">
        <w:rPr>
          <w:rFonts w:asciiTheme="majorHAnsi" w:hAnsiTheme="majorHAnsi" w:cstheme="majorHAnsi"/>
          <w:lang w:eastAsia="en-US"/>
        </w:rPr>
        <w:t xml:space="preserve"> te nabavu računalnih programa</w:t>
      </w:r>
      <w:r w:rsidR="00D10AF1" w:rsidRPr="00892E3D">
        <w:rPr>
          <w:rFonts w:asciiTheme="majorHAnsi" w:hAnsiTheme="majorHAnsi" w:cstheme="majorHAnsi"/>
          <w:lang w:eastAsia="en-US"/>
        </w:rPr>
        <w:t>.</w:t>
      </w:r>
    </w:p>
    <w:p w14:paraId="297770AB" w14:textId="7B7DBAE3" w:rsidR="00D10AF1" w:rsidRPr="00A378FD" w:rsidRDefault="00D10AF1" w:rsidP="00EC2363">
      <w:pPr>
        <w:jc w:val="both"/>
        <w:rPr>
          <w:rFonts w:asciiTheme="majorHAnsi" w:hAnsiTheme="majorHAnsi" w:cstheme="majorHAnsi"/>
          <w:lang w:eastAsia="en-US"/>
        </w:rPr>
      </w:pPr>
      <w:r w:rsidRPr="00A378FD">
        <w:rPr>
          <w:rFonts w:asciiTheme="majorHAnsi" w:hAnsiTheme="majorHAnsi" w:cstheme="majorHAnsi"/>
          <w:lang w:eastAsia="en-US"/>
        </w:rPr>
        <w:t xml:space="preserve">Sredstava osnivača za redovnu djelatnost planiraju se utrošiti za rashode za zaposlene </w:t>
      </w:r>
      <w:r w:rsidR="00A378FD" w:rsidRPr="00A378FD">
        <w:rPr>
          <w:rFonts w:asciiTheme="majorHAnsi" w:hAnsiTheme="majorHAnsi" w:cstheme="majorHAnsi"/>
          <w:lang w:eastAsia="en-US"/>
        </w:rPr>
        <w:t>70.750,00</w:t>
      </w:r>
      <w:r w:rsidRPr="00A378FD">
        <w:rPr>
          <w:rFonts w:asciiTheme="majorHAnsi" w:hAnsiTheme="majorHAnsi" w:cstheme="majorHAnsi"/>
          <w:lang w:eastAsia="en-US"/>
        </w:rPr>
        <w:t xml:space="preserve"> eura zatim za materijalne rashode </w:t>
      </w:r>
      <w:r w:rsidR="00A378FD" w:rsidRPr="00A378FD">
        <w:rPr>
          <w:rFonts w:asciiTheme="majorHAnsi" w:hAnsiTheme="majorHAnsi" w:cstheme="majorHAnsi"/>
          <w:lang w:eastAsia="en-US"/>
        </w:rPr>
        <w:t>13.960,00</w:t>
      </w:r>
      <w:r w:rsidRPr="00A378FD">
        <w:rPr>
          <w:rFonts w:asciiTheme="majorHAnsi" w:hAnsiTheme="majorHAnsi" w:cstheme="majorHAnsi"/>
          <w:lang w:eastAsia="en-US"/>
        </w:rPr>
        <w:t xml:space="preserve"> eura, financijske rashode </w:t>
      </w:r>
      <w:r w:rsidR="00A378FD" w:rsidRPr="00A378FD">
        <w:rPr>
          <w:rFonts w:asciiTheme="majorHAnsi" w:hAnsiTheme="majorHAnsi" w:cstheme="majorHAnsi"/>
          <w:lang w:eastAsia="en-US"/>
        </w:rPr>
        <w:t>190,00</w:t>
      </w:r>
      <w:r w:rsidRPr="00A378FD">
        <w:rPr>
          <w:rFonts w:asciiTheme="majorHAnsi" w:hAnsiTheme="majorHAnsi" w:cstheme="majorHAnsi"/>
          <w:lang w:eastAsia="en-US"/>
        </w:rPr>
        <w:t xml:space="preserve"> euro i nabavu nefinancijske dugotrajne imovine u iznosu od </w:t>
      </w:r>
      <w:r w:rsidR="00A378FD" w:rsidRPr="00A378FD">
        <w:rPr>
          <w:rFonts w:asciiTheme="majorHAnsi" w:hAnsiTheme="majorHAnsi" w:cstheme="majorHAnsi"/>
          <w:lang w:eastAsia="en-US"/>
        </w:rPr>
        <w:t>2.100,00</w:t>
      </w:r>
      <w:r w:rsidRPr="00A378FD">
        <w:rPr>
          <w:rFonts w:asciiTheme="majorHAnsi" w:hAnsiTheme="majorHAnsi" w:cstheme="majorHAnsi"/>
          <w:lang w:eastAsia="en-US"/>
        </w:rPr>
        <w:t xml:space="preserve"> eura.</w:t>
      </w:r>
    </w:p>
    <w:p w14:paraId="1F3C324D" w14:textId="77777777" w:rsidR="00D10AF1" w:rsidRPr="00892E3D" w:rsidRDefault="00D10AF1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6D8D3D1" w14:textId="5CDFF513" w:rsidR="007F28E7" w:rsidRPr="00892E3D" w:rsidRDefault="007F28E7" w:rsidP="00E94FDB">
      <w:pPr>
        <w:keepNext/>
        <w:numPr>
          <w:ilvl w:val="0"/>
          <w:numId w:val="19"/>
        </w:numPr>
        <w:spacing w:before="240"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892E3D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7BDF190E" w14:textId="77777777" w:rsidR="00B046CE" w:rsidRPr="00892E3D" w:rsidRDefault="00B046CE" w:rsidP="00B046CE">
      <w:pPr>
        <w:spacing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A547299" w14:textId="709A2430" w:rsidR="007F28E7" w:rsidRPr="00830991" w:rsidRDefault="00B046CE" w:rsidP="00EC2363">
      <w:pPr>
        <w:spacing w:line="276" w:lineRule="auto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Rashodi su planirani u ukupnom iznosu od </w:t>
      </w:r>
      <w:r w:rsidR="00050041" w:rsidRPr="00830991">
        <w:rPr>
          <w:rFonts w:asciiTheme="majorHAnsi" w:hAnsiTheme="majorHAnsi" w:cstheme="majorHAnsi"/>
        </w:rPr>
        <w:t>107.000,00 eura</w:t>
      </w:r>
      <w:r w:rsidRPr="00830991">
        <w:rPr>
          <w:rFonts w:asciiTheme="majorHAnsi" w:hAnsiTheme="majorHAnsi" w:cstheme="majorHAnsi"/>
        </w:rPr>
        <w:t xml:space="preserve">, od toga rashodi poslovanja (3) iznose </w:t>
      </w:r>
      <w:r w:rsidR="00050041" w:rsidRPr="00830991">
        <w:rPr>
          <w:rFonts w:asciiTheme="majorHAnsi" w:hAnsiTheme="majorHAnsi" w:cstheme="majorHAnsi"/>
        </w:rPr>
        <w:t xml:space="preserve">95.900,00  </w:t>
      </w:r>
      <w:r w:rsidRPr="00830991">
        <w:rPr>
          <w:rFonts w:asciiTheme="majorHAnsi" w:hAnsiTheme="majorHAnsi" w:cstheme="majorHAnsi"/>
        </w:rPr>
        <w:t xml:space="preserve">eura dok rashodi za nabavu nefinancijske imovine (4) </w:t>
      </w:r>
      <w:r w:rsidR="00556202" w:rsidRPr="00830991">
        <w:rPr>
          <w:rFonts w:asciiTheme="majorHAnsi" w:hAnsiTheme="majorHAnsi" w:cstheme="majorHAnsi"/>
        </w:rPr>
        <w:t>11.100,00</w:t>
      </w:r>
      <w:r w:rsidRPr="00830991">
        <w:rPr>
          <w:rFonts w:asciiTheme="majorHAnsi" w:hAnsiTheme="majorHAnsi" w:cstheme="majorHAnsi"/>
        </w:rPr>
        <w:t xml:space="preserve"> eura, </w:t>
      </w:r>
      <w:r w:rsidR="007F28E7" w:rsidRPr="00830991">
        <w:rPr>
          <w:rFonts w:asciiTheme="majorHAnsi" w:hAnsiTheme="majorHAnsi" w:cstheme="majorHAnsi"/>
          <w:lang w:eastAsia="en-US"/>
        </w:rPr>
        <w:t xml:space="preserve">a raspoređeni su u Posebnom dijelu proračuna, po </w:t>
      </w:r>
      <w:r w:rsidR="00527089" w:rsidRPr="00830991">
        <w:rPr>
          <w:rFonts w:asciiTheme="majorHAnsi" w:hAnsiTheme="majorHAnsi" w:cstheme="majorHAnsi"/>
          <w:lang w:eastAsia="en-US"/>
        </w:rPr>
        <w:t xml:space="preserve">programima i </w:t>
      </w:r>
      <w:r w:rsidR="007F28E7" w:rsidRPr="00830991">
        <w:rPr>
          <w:rFonts w:asciiTheme="majorHAnsi" w:hAnsiTheme="majorHAnsi" w:cstheme="majorHAnsi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892E3D" w:rsidRDefault="007F28E7" w:rsidP="00EC23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2FD1D87" w14:textId="6158CD31" w:rsidR="00A21BF6" w:rsidRPr="00830991" w:rsidRDefault="00A21BF6" w:rsidP="00EC2363">
      <w:pPr>
        <w:jc w:val="both"/>
        <w:rPr>
          <w:rFonts w:asciiTheme="majorHAnsi" w:hAnsiTheme="majorHAnsi" w:cstheme="majorHAnsi"/>
          <w:b/>
        </w:rPr>
      </w:pPr>
      <w:r w:rsidRPr="00830991">
        <w:rPr>
          <w:rFonts w:asciiTheme="majorHAnsi" w:hAnsiTheme="majorHAnsi" w:cstheme="majorHAnsi"/>
          <w:b/>
        </w:rPr>
        <w:t>1025 Program: Javne potrebe u školstvu</w:t>
      </w:r>
    </w:p>
    <w:p w14:paraId="7362B15C" w14:textId="77777777" w:rsidR="00A21BF6" w:rsidRPr="00830991" w:rsidRDefault="00A21BF6" w:rsidP="00EC2363">
      <w:pPr>
        <w:jc w:val="both"/>
        <w:rPr>
          <w:rFonts w:asciiTheme="majorHAnsi" w:hAnsiTheme="majorHAnsi" w:cstheme="majorHAnsi"/>
          <w:b/>
        </w:rPr>
      </w:pPr>
    </w:p>
    <w:p w14:paraId="2C3B173A" w14:textId="0AB6C3F5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A1025 01: Redovan rad </w:t>
      </w:r>
      <w:r w:rsidR="006770F3">
        <w:rPr>
          <w:rFonts w:asciiTheme="majorHAnsi" w:hAnsiTheme="majorHAnsi" w:cstheme="majorHAnsi"/>
          <w:b/>
          <w:color w:val="70AD47"/>
        </w:rPr>
        <w:t>P</w:t>
      </w:r>
      <w:r w:rsidRPr="00830991">
        <w:rPr>
          <w:rFonts w:asciiTheme="majorHAnsi" w:hAnsiTheme="majorHAnsi" w:cstheme="majorHAnsi"/>
          <w:b/>
          <w:color w:val="70AD47"/>
        </w:rPr>
        <w:t>učkog otvorenog učilišta</w:t>
      </w:r>
      <w:r w:rsidRPr="00830991">
        <w:rPr>
          <w:rFonts w:asciiTheme="majorHAnsi" w:hAnsiTheme="majorHAnsi" w:cstheme="majorHAnsi"/>
          <w:bCs/>
        </w:rPr>
        <w:t xml:space="preserve"> – planira se </w:t>
      </w:r>
      <w:r w:rsidR="00556202" w:rsidRPr="00830991">
        <w:rPr>
          <w:rFonts w:asciiTheme="majorHAnsi" w:hAnsiTheme="majorHAnsi" w:cstheme="majorHAnsi"/>
          <w:bCs/>
        </w:rPr>
        <w:t>35.0</w:t>
      </w:r>
      <w:r w:rsidR="006770F3">
        <w:rPr>
          <w:rFonts w:asciiTheme="majorHAnsi" w:hAnsiTheme="majorHAnsi" w:cstheme="majorHAnsi"/>
          <w:bCs/>
        </w:rPr>
        <w:t>1</w:t>
      </w:r>
      <w:r w:rsidR="00556202" w:rsidRPr="00830991">
        <w:rPr>
          <w:rFonts w:asciiTheme="majorHAnsi" w:hAnsiTheme="majorHAnsi" w:cstheme="majorHAnsi"/>
          <w:bCs/>
        </w:rPr>
        <w:t>1,50</w:t>
      </w:r>
      <w:r w:rsidR="00010CF9" w:rsidRPr="00830991">
        <w:rPr>
          <w:rFonts w:asciiTheme="majorHAnsi" w:hAnsiTheme="majorHAnsi" w:cstheme="majorHAnsi"/>
          <w:bCs/>
        </w:rPr>
        <w:t xml:space="preserve"> eura</w:t>
      </w:r>
      <w:r w:rsidRPr="00830991">
        <w:rPr>
          <w:rFonts w:asciiTheme="majorHAnsi" w:hAnsiTheme="majorHAnsi" w:cstheme="majorHAnsi"/>
          <w:bCs/>
        </w:rPr>
        <w:t>, od čega:</w:t>
      </w:r>
    </w:p>
    <w:p w14:paraId="71F6C8D6" w14:textId="166DC16D" w:rsidR="00A21BF6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bookmarkStart w:id="3" w:name="_Hlk117771824"/>
      <w:r w:rsidRPr="00830991">
        <w:rPr>
          <w:rFonts w:asciiTheme="majorHAnsi" w:hAnsiTheme="majorHAnsi" w:cstheme="majorHAnsi"/>
          <w:bCs/>
        </w:rPr>
        <w:t xml:space="preserve">31 </w:t>
      </w:r>
      <w:r w:rsidR="00A21BF6" w:rsidRPr="00830991">
        <w:rPr>
          <w:rFonts w:asciiTheme="majorHAnsi" w:hAnsiTheme="majorHAnsi" w:cstheme="majorHAnsi"/>
          <w:bCs/>
        </w:rPr>
        <w:t xml:space="preserve">rashodi za zaposlene </w:t>
      </w:r>
      <w:r w:rsidRPr="00830991">
        <w:rPr>
          <w:rFonts w:asciiTheme="majorHAnsi" w:hAnsiTheme="majorHAnsi" w:cstheme="majorHAnsi"/>
          <w:bCs/>
        </w:rPr>
        <w:t>–</w:t>
      </w:r>
      <w:r w:rsidR="00A21BF6" w:rsidRPr="00830991">
        <w:rPr>
          <w:rFonts w:asciiTheme="majorHAnsi" w:hAnsiTheme="majorHAnsi" w:cstheme="majorHAnsi"/>
          <w:bCs/>
        </w:rPr>
        <w:t xml:space="preserve"> </w:t>
      </w:r>
      <w:r w:rsidR="00556202" w:rsidRPr="00830991">
        <w:rPr>
          <w:rFonts w:asciiTheme="majorHAnsi" w:hAnsiTheme="majorHAnsi" w:cstheme="majorHAnsi"/>
          <w:bCs/>
        </w:rPr>
        <w:t>23.501,50</w:t>
      </w:r>
      <w:r w:rsidRPr="00830991">
        <w:rPr>
          <w:rFonts w:asciiTheme="majorHAnsi" w:hAnsiTheme="majorHAnsi" w:cstheme="majorHAnsi"/>
          <w:bCs/>
        </w:rPr>
        <w:t xml:space="preserve"> eura</w:t>
      </w:r>
      <w:r w:rsidR="00A21BF6" w:rsidRPr="00830991">
        <w:rPr>
          <w:rFonts w:asciiTheme="majorHAnsi" w:hAnsiTheme="majorHAnsi" w:cstheme="majorHAnsi"/>
          <w:bCs/>
        </w:rPr>
        <w:t xml:space="preserve"> (plaće, doprinosi i </w:t>
      </w:r>
      <w:r w:rsidRPr="00830991">
        <w:rPr>
          <w:rFonts w:asciiTheme="majorHAnsi" w:hAnsiTheme="majorHAnsi" w:cstheme="majorHAnsi"/>
          <w:bCs/>
        </w:rPr>
        <w:t>ostali rashodi za zaposlene</w:t>
      </w:r>
      <w:r w:rsidR="00A21BF6" w:rsidRPr="00830991">
        <w:rPr>
          <w:rFonts w:asciiTheme="majorHAnsi" w:hAnsiTheme="majorHAnsi" w:cstheme="majorHAnsi"/>
          <w:bCs/>
        </w:rPr>
        <w:t>)</w:t>
      </w:r>
    </w:p>
    <w:p w14:paraId="2C9378E4" w14:textId="664CE348" w:rsidR="00010CF9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32 materijal</w:t>
      </w:r>
      <w:r w:rsidR="008D067E">
        <w:rPr>
          <w:rFonts w:asciiTheme="majorHAnsi" w:hAnsiTheme="majorHAnsi" w:cstheme="majorHAnsi"/>
          <w:bCs/>
        </w:rPr>
        <w:t>n</w:t>
      </w:r>
      <w:r w:rsidRPr="00830991">
        <w:rPr>
          <w:rFonts w:asciiTheme="majorHAnsi" w:hAnsiTheme="majorHAnsi" w:cstheme="majorHAnsi"/>
          <w:bCs/>
        </w:rPr>
        <w:t xml:space="preserve">i rashodi – </w:t>
      </w:r>
      <w:r w:rsidR="00556202" w:rsidRPr="00830991">
        <w:rPr>
          <w:rFonts w:asciiTheme="majorHAnsi" w:hAnsiTheme="majorHAnsi" w:cstheme="majorHAnsi"/>
          <w:bCs/>
        </w:rPr>
        <w:t>11.020,00</w:t>
      </w:r>
      <w:r w:rsidRPr="00830991">
        <w:rPr>
          <w:rFonts w:asciiTheme="majorHAnsi" w:hAnsiTheme="majorHAnsi" w:cstheme="majorHAnsi"/>
          <w:bCs/>
        </w:rPr>
        <w:t xml:space="preserve"> euro, od toga:</w:t>
      </w:r>
    </w:p>
    <w:p w14:paraId="295697FF" w14:textId="76545BBC" w:rsidR="00010CF9" w:rsidRPr="00830991" w:rsidRDefault="005B1815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2.</w:t>
      </w:r>
      <w:r w:rsidR="00556202" w:rsidRPr="00830991">
        <w:rPr>
          <w:rFonts w:asciiTheme="majorHAnsi" w:hAnsiTheme="majorHAnsi" w:cstheme="majorHAnsi"/>
          <w:bCs/>
        </w:rPr>
        <w:t>400,00</w:t>
      </w:r>
      <w:r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Naknade troškova zaposlenima (za naknade za prijevoz s posla i na posao, dnevnice, kotizacije za stručno usavršavanje zaposlenika, naknada za korištenje privatnog automobila)</w:t>
      </w:r>
    </w:p>
    <w:p w14:paraId="2844D0CA" w14:textId="17F577A0" w:rsidR="00010CF9" w:rsidRPr="00830991" w:rsidRDefault="005B1815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1.</w:t>
      </w:r>
      <w:r w:rsidR="00556202" w:rsidRPr="00830991">
        <w:rPr>
          <w:rFonts w:asciiTheme="majorHAnsi" w:hAnsiTheme="majorHAnsi" w:cstheme="majorHAnsi"/>
          <w:bCs/>
        </w:rPr>
        <w:t>375,00</w:t>
      </w:r>
      <w:r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Rashodi za materijal i energiju (uredski materijal, literaturu za polaznike programa obrazovanja, materijal za čišćenje i održavanje, plin, materijal za tekuće održavanje, sitni inventar i zaštitne maske)</w:t>
      </w:r>
    </w:p>
    <w:p w14:paraId="5FF2658B" w14:textId="73891E58" w:rsidR="00010CF9" w:rsidRPr="00830991" w:rsidRDefault="00556202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6.680,00</w:t>
      </w:r>
      <w:r w:rsidR="005B1815"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 xml:space="preserve">Rashodi za usluge (usluge telefona, pošte, tekućeg i investicijskog održavanja zgrade i opreme, </w:t>
      </w:r>
      <w:r w:rsidRPr="00830991">
        <w:rPr>
          <w:rFonts w:asciiTheme="majorHAnsi" w:hAnsiTheme="majorHAnsi" w:cstheme="majorHAnsi"/>
          <w:bCs/>
        </w:rPr>
        <w:t>sistematski pregled</w:t>
      </w:r>
      <w:r w:rsidR="00010CF9" w:rsidRPr="00830991">
        <w:rPr>
          <w:rFonts w:asciiTheme="majorHAnsi" w:hAnsiTheme="majorHAnsi" w:cstheme="majorHAnsi"/>
          <w:bCs/>
        </w:rPr>
        <w:t>, komunalne usluge, honorari prema ugovoru o djelu za predavače programa obrazovanja, intelektualne usluge, računalne i grafičke usluge te usluge čišćenja)</w:t>
      </w:r>
    </w:p>
    <w:p w14:paraId="3C17882D" w14:textId="4F290F21" w:rsidR="00010CF9" w:rsidRPr="00830991" w:rsidRDefault="00556202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565,00</w:t>
      </w:r>
      <w:r w:rsidR="005B1815"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Ostali nespomenuti rashodi poslovanja (rashodi za premije osiguranja, reprezentacija, rashodi za pristojbe, Fina certifikat za e-usluge)</w:t>
      </w:r>
    </w:p>
    <w:p w14:paraId="0C4EEC45" w14:textId="40B7330F" w:rsidR="00010CF9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 xml:space="preserve">34 financijski rashodi – </w:t>
      </w:r>
      <w:r w:rsidR="00556202" w:rsidRPr="00830991">
        <w:rPr>
          <w:rFonts w:asciiTheme="majorHAnsi" w:hAnsiTheme="majorHAnsi" w:cstheme="majorHAnsi"/>
          <w:bCs/>
        </w:rPr>
        <w:t>490,00</w:t>
      </w:r>
      <w:r w:rsidRPr="00830991">
        <w:rPr>
          <w:rFonts w:asciiTheme="majorHAnsi" w:hAnsiTheme="majorHAnsi" w:cstheme="majorHAnsi"/>
          <w:bCs/>
        </w:rPr>
        <w:t xml:space="preserve"> eura za usluge platnog prometa</w:t>
      </w:r>
    </w:p>
    <w:bookmarkEnd w:id="3"/>
    <w:p w14:paraId="383BF613" w14:textId="77777777" w:rsidR="005B1815" w:rsidRPr="00830991" w:rsidRDefault="005B1815" w:rsidP="00EC2363">
      <w:pPr>
        <w:jc w:val="both"/>
        <w:rPr>
          <w:rFonts w:asciiTheme="majorHAnsi" w:hAnsiTheme="majorHAnsi" w:cstheme="majorHAnsi"/>
          <w:b/>
          <w:color w:val="70AD47"/>
        </w:rPr>
      </w:pPr>
    </w:p>
    <w:p w14:paraId="07983ED0" w14:textId="747D31D6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K1025 01: Opremanje </w:t>
      </w:r>
      <w:r w:rsidR="006770F3">
        <w:rPr>
          <w:rFonts w:asciiTheme="majorHAnsi" w:hAnsiTheme="majorHAnsi" w:cstheme="majorHAnsi"/>
          <w:b/>
          <w:color w:val="70AD47"/>
        </w:rPr>
        <w:t>P</w:t>
      </w:r>
      <w:r w:rsidRPr="00830991">
        <w:rPr>
          <w:rFonts w:asciiTheme="majorHAnsi" w:hAnsiTheme="majorHAnsi" w:cstheme="majorHAnsi"/>
          <w:b/>
          <w:color w:val="70AD47"/>
        </w:rPr>
        <w:t>učkog otvorenog učilišta</w:t>
      </w:r>
      <w:r w:rsidRPr="00830991">
        <w:rPr>
          <w:rFonts w:asciiTheme="majorHAnsi" w:hAnsiTheme="majorHAnsi" w:cstheme="majorHAnsi"/>
          <w:bCs/>
        </w:rPr>
        <w:t xml:space="preserve"> – planira se </w:t>
      </w:r>
      <w:r w:rsidR="00556202" w:rsidRPr="00830991">
        <w:rPr>
          <w:rFonts w:asciiTheme="majorHAnsi" w:hAnsiTheme="majorHAnsi" w:cstheme="majorHAnsi"/>
          <w:bCs/>
        </w:rPr>
        <w:t>50,00</w:t>
      </w:r>
      <w:r w:rsidR="0066103D" w:rsidRPr="00830991">
        <w:rPr>
          <w:rFonts w:asciiTheme="majorHAnsi" w:hAnsiTheme="majorHAnsi" w:cstheme="majorHAnsi"/>
          <w:bCs/>
        </w:rPr>
        <w:t xml:space="preserve"> eura</w:t>
      </w:r>
      <w:r w:rsidRPr="00830991">
        <w:rPr>
          <w:rFonts w:asciiTheme="majorHAnsi" w:hAnsiTheme="majorHAnsi" w:cstheme="majorHAnsi"/>
          <w:bCs/>
        </w:rPr>
        <w:t xml:space="preserve"> za </w:t>
      </w:r>
      <w:r w:rsidR="00556202" w:rsidRPr="00830991">
        <w:rPr>
          <w:rFonts w:asciiTheme="majorHAnsi" w:hAnsiTheme="majorHAnsi" w:cstheme="majorHAnsi"/>
          <w:bCs/>
        </w:rPr>
        <w:t>ulaganje u računalne programe.</w:t>
      </w:r>
    </w:p>
    <w:p w14:paraId="76AE602A" w14:textId="77777777" w:rsidR="00A21BF6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70B346F" w14:textId="77777777" w:rsidR="006770F3" w:rsidRPr="00892E3D" w:rsidRDefault="006770F3" w:rsidP="00EC236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AAC2AB7" w14:textId="77777777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830991">
        <w:rPr>
          <w:rFonts w:asciiTheme="majorHAnsi" w:hAnsiTheme="majorHAnsi" w:cstheme="majorHAnsi"/>
          <w:b/>
        </w:rPr>
        <w:t>1026 Program: Promicanje kulture – POU</w:t>
      </w:r>
    </w:p>
    <w:p w14:paraId="59EF60E8" w14:textId="77777777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F65877C" w14:textId="1C5849A1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A1026 01: Redovna djelatnost </w:t>
      </w:r>
      <w:r w:rsidR="006770F3">
        <w:rPr>
          <w:rFonts w:asciiTheme="majorHAnsi" w:hAnsiTheme="majorHAnsi" w:cstheme="majorHAnsi"/>
          <w:b/>
          <w:color w:val="70AD47"/>
        </w:rPr>
        <w:t>K</w:t>
      </w:r>
      <w:r w:rsidRPr="00830991">
        <w:rPr>
          <w:rFonts w:asciiTheme="majorHAnsi" w:hAnsiTheme="majorHAnsi" w:cstheme="majorHAnsi"/>
          <w:b/>
          <w:color w:val="70AD47"/>
        </w:rPr>
        <w:t>njižnice</w:t>
      </w:r>
      <w:r w:rsidRPr="00830991">
        <w:rPr>
          <w:rFonts w:asciiTheme="majorHAnsi" w:hAnsiTheme="majorHAnsi" w:cstheme="majorHAnsi"/>
          <w:bCs/>
        </w:rPr>
        <w:t xml:space="preserve"> – planira se </w:t>
      </w:r>
      <w:r w:rsidR="00556202" w:rsidRPr="00830991">
        <w:rPr>
          <w:rFonts w:asciiTheme="majorHAnsi" w:hAnsiTheme="majorHAnsi" w:cstheme="majorHAnsi"/>
          <w:bCs/>
        </w:rPr>
        <w:t>60.</w:t>
      </w:r>
      <w:r w:rsidR="00C256A3" w:rsidRPr="00830991">
        <w:rPr>
          <w:rFonts w:asciiTheme="majorHAnsi" w:hAnsiTheme="majorHAnsi" w:cstheme="majorHAnsi"/>
          <w:bCs/>
        </w:rPr>
        <w:t>888,50</w:t>
      </w:r>
      <w:r w:rsidR="00D93528" w:rsidRPr="00830991">
        <w:rPr>
          <w:rFonts w:asciiTheme="majorHAnsi" w:hAnsiTheme="majorHAnsi" w:cstheme="majorHAnsi"/>
          <w:bCs/>
        </w:rPr>
        <w:t xml:space="preserve"> euro</w:t>
      </w:r>
      <w:r w:rsidRPr="00830991">
        <w:rPr>
          <w:rFonts w:asciiTheme="majorHAnsi" w:hAnsiTheme="majorHAnsi" w:cstheme="majorHAnsi"/>
          <w:bCs/>
        </w:rPr>
        <w:t>, za:</w:t>
      </w:r>
    </w:p>
    <w:p w14:paraId="75434235" w14:textId="3CE29A08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 xml:space="preserve">31 rashodi za zaposlene – </w:t>
      </w:r>
      <w:r w:rsidR="00C256A3" w:rsidRPr="00830991">
        <w:rPr>
          <w:rFonts w:asciiTheme="majorHAnsi" w:hAnsiTheme="majorHAnsi" w:cstheme="majorHAnsi"/>
          <w:bCs/>
        </w:rPr>
        <w:t>47.838,50</w:t>
      </w:r>
      <w:r w:rsidRPr="00830991">
        <w:rPr>
          <w:rFonts w:asciiTheme="majorHAnsi" w:hAnsiTheme="majorHAnsi" w:cstheme="majorHAnsi"/>
          <w:bCs/>
        </w:rPr>
        <w:t xml:space="preserve"> eura (plaće, doprinosi i ostali rashodi za zaposlene)</w:t>
      </w:r>
    </w:p>
    <w:p w14:paraId="304FEDDB" w14:textId="2EB82EB4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32 materijal</w:t>
      </w:r>
      <w:r w:rsidR="008D067E">
        <w:rPr>
          <w:rFonts w:asciiTheme="majorHAnsi" w:hAnsiTheme="majorHAnsi" w:cstheme="majorHAnsi"/>
          <w:bCs/>
        </w:rPr>
        <w:t>n</w:t>
      </w:r>
      <w:r w:rsidRPr="00830991">
        <w:rPr>
          <w:rFonts w:asciiTheme="majorHAnsi" w:hAnsiTheme="majorHAnsi" w:cstheme="majorHAnsi"/>
          <w:bCs/>
        </w:rPr>
        <w:t xml:space="preserve">i rashodi – </w:t>
      </w:r>
      <w:r w:rsidR="00C256A3" w:rsidRPr="00830991">
        <w:rPr>
          <w:rFonts w:asciiTheme="majorHAnsi" w:hAnsiTheme="majorHAnsi" w:cstheme="majorHAnsi"/>
          <w:bCs/>
        </w:rPr>
        <w:t>12.860,00</w:t>
      </w:r>
      <w:r w:rsidRPr="00830991">
        <w:rPr>
          <w:rFonts w:asciiTheme="majorHAnsi" w:hAnsiTheme="majorHAnsi" w:cstheme="majorHAnsi"/>
          <w:bCs/>
        </w:rPr>
        <w:t xml:space="preserve"> euro, od toga:</w:t>
      </w:r>
    </w:p>
    <w:p w14:paraId="0564B51E" w14:textId="40244DA7" w:rsidR="00D93528" w:rsidRPr="00830991" w:rsidRDefault="00C256A3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3.500,00</w:t>
      </w:r>
      <w:r w:rsidR="00D93528" w:rsidRPr="00830991">
        <w:rPr>
          <w:rFonts w:asciiTheme="majorHAnsi" w:hAnsiTheme="majorHAnsi" w:cstheme="majorHAnsi"/>
          <w:bCs/>
        </w:rPr>
        <w:t xml:space="preserve"> eura - Naknade troškova zaposlenima (naknade za prijevoz s posla i na posao, dnevnice, kotizacije za stručno usavršavanje zaposlenika, naknada za korištenje privatnog automobila)</w:t>
      </w:r>
    </w:p>
    <w:p w14:paraId="0384E91D" w14:textId="53C89C2A" w:rsidR="00D93528" w:rsidRPr="00830991" w:rsidRDefault="00C256A3" w:rsidP="00EC2363">
      <w:pPr>
        <w:numPr>
          <w:ilvl w:val="2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2.095,00</w:t>
      </w:r>
      <w:r w:rsidR="00D93528" w:rsidRPr="00830991">
        <w:rPr>
          <w:rFonts w:asciiTheme="majorHAnsi" w:hAnsiTheme="majorHAnsi" w:cstheme="majorHAnsi"/>
          <w:bCs/>
        </w:rPr>
        <w:t xml:space="preserve"> eura - Rashodi za materijal i energiju (uredski materijal, </w:t>
      </w:r>
      <w:r w:rsidR="0016577C" w:rsidRPr="00830991">
        <w:rPr>
          <w:rFonts w:asciiTheme="majorHAnsi" w:hAnsiTheme="majorHAnsi" w:cstheme="majorHAnsi"/>
          <w:bCs/>
        </w:rPr>
        <w:t>literatura - dnevni tisak i časopisi za djecu i odrasle korisnike knjižnice, materijal za čišćenje i održavanje, namirnice za kulturne manifestacije, plin, materijal za tekuće održavanje, sitni inventar i zaštitne maske</w:t>
      </w:r>
      <w:r w:rsidR="00D93528" w:rsidRPr="00830991">
        <w:rPr>
          <w:rFonts w:asciiTheme="majorHAnsi" w:hAnsiTheme="majorHAnsi" w:cstheme="majorHAnsi"/>
          <w:bCs/>
        </w:rPr>
        <w:t>)</w:t>
      </w:r>
    </w:p>
    <w:p w14:paraId="1CEFAD44" w14:textId="23FB85C1" w:rsidR="00D93528" w:rsidRPr="00830991" w:rsidRDefault="00C256A3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5.820,00</w:t>
      </w:r>
      <w:r w:rsidR="00D93528" w:rsidRPr="00830991">
        <w:rPr>
          <w:rFonts w:asciiTheme="majorHAnsi" w:hAnsiTheme="majorHAnsi" w:cstheme="majorHAnsi"/>
          <w:bCs/>
        </w:rPr>
        <w:t xml:space="preserve"> eura - Rashodi za usluge (</w:t>
      </w:r>
      <w:r w:rsidR="0016577C" w:rsidRPr="00830991">
        <w:rPr>
          <w:rFonts w:asciiTheme="majorHAnsi" w:hAnsiTheme="majorHAnsi" w:cstheme="majorHAnsi"/>
          <w:bCs/>
        </w:rPr>
        <w:t>usluge telefona, pošte, tekućeg i investicijskog održavanja zgrade i opreme, komunalne usluge - smeće, servis vatrogasnih aparata, honorari za izvođače</w:t>
      </w:r>
      <w:r w:rsidR="000E0CD0">
        <w:rPr>
          <w:rFonts w:asciiTheme="majorHAnsi" w:hAnsiTheme="majorHAnsi" w:cstheme="majorHAnsi"/>
          <w:bCs/>
        </w:rPr>
        <w:t xml:space="preserve"> na</w:t>
      </w:r>
      <w:r w:rsidR="0016577C" w:rsidRPr="00830991">
        <w:rPr>
          <w:rFonts w:asciiTheme="majorHAnsi" w:hAnsiTheme="majorHAnsi" w:cstheme="majorHAnsi"/>
          <w:bCs/>
        </w:rPr>
        <w:t xml:space="preserve"> kulturni</w:t>
      </w:r>
      <w:r w:rsidR="000E0CD0">
        <w:rPr>
          <w:rFonts w:asciiTheme="majorHAnsi" w:hAnsiTheme="majorHAnsi" w:cstheme="majorHAnsi"/>
          <w:bCs/>
        </w:rPr>
        <w:t>m</w:t>
      </w:r>
      <w:r w:rsidR="0016577C" w:rsidRPr="00830991">
        <w:rPr>
          <w:rFonts w:asciiTheme="majorHAnsi" w:hAnsiTheme="majorHAnsi" w:cstheme="majorHAnsi"/>
          <w:bCs/>
        </w:rPr>
        <w:t xml:space="preserve"> manifestacija</w:t>
      </w:r>
      <w:r w:rsidR="000E0CD0">
        <w:rPr>
          <w:rFonts w:asciiTheme="majorHAnsi" w:hAnsiTheme="majorHAnsi" w:cstheme="majorHAnsi"/>
          <w:bCs/>
        </w:rPr>
        <w:t>ma</w:t>
      </w:r>
      <w:r w:rsidR="0016577C" w:rsidRPr="00830991">
        <w:rPr>
          <w:rFonts w:asciiTheme="majorHAnsi" w:hAnsiTheme="majorHAnsi" w:cstheme="majorHAnsi"/>
          <w:bCs/>
        </w:rPr>
        <w:t xml:space="preserve">, intelektualne usluge, </w:t>
      </w:r>
      <w:r w:rsidR="00D93528" w:rsidRPr="00830991">
        <w:rPr>
          <w:rFonts w:asciiTheme="majorHAnsi" w:hAnsiTheme="majorHAnsi" w:cstheme="majorHAnsi"/>
          <w:bCs/>
        </w:rPr>
        <w:t>računalne i grafičke usluge te usluge čišćenja)</w:t>
      </w:r>
    </w:p>
    <w:p w14:paraId="5294B552" w14:textId="54E6562C" w:rsidR="0016577C" w:rsidRPr="00830991" w:rsidRDefault="00C256A3" w:rsidP="00EC2363">
      <w:pPr>
        <w:numPr>
          <w:ilvl w:val="2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500,00</w:t>
      </w:r>
      <w:r w:rsidR="00584A2E" w:rsidRPr="00830991">
        <w:rPr>
          <w:rFonts w:asciiTheme="majorHAnsi" w:hAnsiTheme="majorHAnsi" w:cstheme="majorHAnsi"/>
          <w:bCs/>
        </w:rPr>
        <w:t xml:space="preserve"> eura – naknada troškova osobama izvan radnog odnosa (</w:t>
      </w:r>
      <w:r w:rsidR="0016577C" w:rsidRPr="00830991">
        <w:rPr>
          <w:rFonts w:asciiTheme="majorHAnsi" w:hAnsiTheme="majorHAnsi" w:cstheme="majorHAnsi"/>
          <w:bCs/>
        </w:rPr>
        <w:t>podmirenje putnih troškova osobama koje sudjeluju u kulturnim manifestacijama, promocijama knjiga, predavanjima)</w:t>
      </w:r>
    </w:p>
    <w:p w14:paraId="31D6D83B" w14:textId="61A2157E" w:rsidR="00D93528" w:rsidRPr="00830991" w:rsidRDefault="00C256A3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945,00</w:t>
      </w:r>
      <w:r w:rsidR="00D93528" w:rsidRPr="00830991">
        <w:rPr>
          <w:rFonts w:asciiTheme="majorHAnsi" w:hAnsiTheme="majorHAnsi" w:cstheme="majorHAnsi"/>
          <w:bCs/>
        </w:rPr>
        <w:t xml:space="preserve"> eura - Ostali nespomenuti rashodi poslovanja (rashodi za premije osiguranja, reprezentacija, </w:t>
      </w:r>
      <w:r w:rsidR="00584A2E" w:rsidRPr="00830991">
        <w:rPr>
          <w:rFonts w:asciiTheme="majorHAnsi" w:hAnsiTheme="majorHAnsi" w:cstheme="majorHAnsi"/>
          <w:bCs/>
        </w:rPr>
        <w:t xml:space="preserve">članarina KD KZŽ, </w:t>
      </w:r>
      <w:r w:rsidR="00D93528" w:rsidRPr="00830991">
        <w:rPr>
          <w:rFonts w:asciiTheme="majorHAnsi" w:hAnsiTheme="majorHAnsi" w:cstheme="majorHAnsi"/>
          <w:bCs/>
        </w:rPr>
        <w:t>rashodi za pristojbe, Fina certifikat za e-usluge)</w:t>
      </w:r>
    </w:p>
    <w:p w14:paraId="1A3210B3" w14:textId="69D507D5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34 financijski rashodi – 1</w:t>
      </w:r>
      <w:r w:rsidR="00C256A3" w:rsidRPr="00830991">
        <w:rPr>
          <w:rFonts w:asciiTheme="majorHAnsi" w:hAnsiTheme="majorHAnsi" w:cstheme="majorHAnsi"/>
          <w:bCs/>
        </w:rPr>
        <w:t>90,00</w:t>
      </w:r>
      <w:r w:rsidRPr="00830991">
        <w:rPr>
          <w:rFonts w:asciiTheme="majorHAnsi" w:hAnsiTheme="majorHAnsi" w:cstheme="majorHAnsi"/>
          <w:bCs/>
        </w:rPr>
        <w:t xml:space="preserve"> eura za usluge platnog prometa</w:t>
      </w:r>
    </w:p>
    <w:p w14:paraId="60051CB3" w14:textId="3F2AE3F5" w:rsidR="00D93528" w:rsidRPr="00830991" w:rsidRDefault="00D93528" w:rsidP="00A21BF6">
      <w:pPr>
        <w:spacing w:line="360" w:lineRule="auto"/>
        <w:jc w:val="both"/>
        <w:rPr>
          <w:rFonts w:asciiTheme="majorHAnsi" w:hAnsiTheme="majorHAnsi" w:cstheme="majorHAnsi"/>
          <w:bCs/>
        </w:rPr>
      </w:pPr>
    </w:p>
    <w:p w14:paraId="7E6C72A5" w14:textId="598A5152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K1026 01: Opremanje </w:t>
      </w:r>
      <w:r w:rsidR="006770F3">
        <w:rPr>
          <w:rFonts w:asciiTheme="majorHAnsi" w:hAnsiTheme="majorHAnsi" w:cstheme="majorHAnsi"/>
          <w:b/>
          <w:color w:val="70AD47"/>
        </w:rPr>
        <w:t>K</w:t>
      </w:r>
      <w:r w:rsidRPr="00830991">
        <w:rPr>
          <w:rFonts w:asciiTheme="majorHAnsi" w:hAnsiTheme="majorHAnsi" w:cstheme="majorHAnsi"/>
          <w:b/>
          <w:color w:val="70AD47"/>
        </w:rPr>
        <w:t>njižnice i čitaonice</w:t>
      </w:r>
      <w:r w:rsidRPr="00830991">
        <w:rPr>
          <w:rFonts w:asciiTheme="majorHAnsi" w:hAnsiTheme="majorHAnsi" w:cstheme="majorHAnsi"/>
          <w:bCs/>
        </w:rPr>
        <w:t xml:space="preserve"> – planira se  </w:t>
      </w:r>
      <w:r w:rsidR="00C256A3" w:rsidRPr="00830991">
        <w:rPr>
          <w:rFonts w:asciiTheme="majorHAnsi" w:hAnsiTheme="majorHAnsi" w:cstheme="majorHAnsi"/>
          <w:bCs/>
        </w:rPr>
        <w:t>11.050,00</w:t>
      </w:r>
      <w:r w:rsidR="0016577C" w:rsidRPr="00830991">
        <w:rPr>
          <w:rFonts w:asciiTheme="majorHAnsi" w:hAnsiTheme="majorHAnsi" w:cstheme="majorHAnsi"/>
          <w:bCs/>
        </w:rPr>
        <w:t xml:space="preserve"> eura, </w:t>
      </w:r>
      <w:r w:rsidRPr="00830991">
        <w:rPr>
          <w:rFonts w:asciiTheme="majorHAnsi" w:hAnsiTheme="majorHAnsi" w:cstheme="majorHAnsi"/>
          <w:bCs/>
        </w:rPr>
        <w:t xml:space="preserve"> od toga </w:t>
      </w:r>
      <w:r w:rsidR="00C256A3" w:rsidRPr="00830991">
        <w:rPr>
          <w:rFonts w:asciiTheme="majorHAnsi" w:hAnsiTheme="majorHAnsi" w:cstheme="majorHAnsi"/>
          <w:bCs/>
        </w:rPr>
        <w:t>11.000,00</w:t>
      </w:r>
      <w:r w:rsidR="0016577C" w:rsidRPr="00830991">
        <w:rPr>
          <w:rFonts w:asciiTheme="majorHAnsi" w:hAnsiTheme="majorHAnsi" w:cstheme="majorHAnsi"/>
          <w:bCs/>
        </w:rPr>
        <w:t xml:space="preserve"> eura za </w:t>
      </w:r>
      <w:r w:rsidRPr="00830991">
        <w:rPr>
          <w:rFonts w:asciiTheme="majorHAnsi" w:hAnsiTheme="majorHAnsi" w:cstheme="majorHAnsi"/>
          <w:bCs/>
        </w:rPr>
        <w:t>nabav</w:t>
      </w:r>
      <w:r w:rsidR="0016577C" w:rsidRPr="00830991">
        <w:rPr>
          <w:rFonts w:asciiTheme="majorHAnsi" w:hAnsiTheme="majorHAnsi" w:cstheme="majorHAnsi"/>
          <w:bCs/>
        </w:rPr>
        <w:t>u</w:t>
      </w:r>
      <w:r w:rsidRPr="00830991">
        <w:rPr>
          <w:rFonts w:asciiTheme="majorHAnsi" w:hAnsiTheme="majorHAnsi" w:cstheme="majorHAnsi"/>
          <w:bCs/>
        </w:rPr>
        <w:t xml:space="preserve"> knjižne građe te </w:t>
      </w:r>
      <w:r w:rsidR="00C256A3" w:rsidRPr="00830991">
        <w:rPr>
          <w:rFonts w:asciiTheme="majorHAnsi" w:hAnsiTheme="majorHAnsi" w:cstheme="majorHAnsi"/>
          <w:bCs/>
        </w:rPr>
        <w:t>50,00</w:t>
      </w:r>
      <w:r w:rsidR="0016577C" w:rsidRPr="00830991">
        <w:rPr>
          <w:rFonts w:asciiTheme="majorHAnsi" w:hAnsiTheme="majorHAnsi" w:cstheme="majorHAnsi"/>
          <w:bCs/>
        </w:rPr>
        <w:t xml:space="preserve"> eura za</w:t>
      </w:r>
      <w:r w:rsidRPr="00830991">
        <w:rPr>
          <w:rFonts w:asciiTheme="majorHAnsi" w:hAnsiTheme="majorHAnsi" w:cstheme="majorHAnsi"/>
          <w:bCs/>
        </w:rPr>
        <w:t xml:space="preserve"> </w:t>
      </w:r>
      <w:r w:rsidR="00C256A3" w:rsidRPr="00830991">
        <w:rPr>
          <w:rFonts w:asciiTheme="majorHAnsi" w:hAnsiTheme="majorHAnsi" w:cstheme="majorHAnsi"/>
          <w:bCs/>
        </w:rPr>
        <w:t>ulaganje u računalne programe</w:t>
      </w:r>
      <w:r w:rsidRPr="00830991">
        <w:rPr>
          <w:rFonts w:asciiTheme="majorHAnsi" w:hAnsiTheme="majorHAnsi" w:cstheme="majorHAnsi"/>
          <w:bCs/>
        </w:rPr>
        <w:t>.</w:t>
      </w:r>
    </w:p>
    <w:p w14:paraId="2177293E" w14:textId="77777777" w:rsidR="00A21BF6" w:rsidRPr="00830991" w:rsidRDefault="00A21BF6" w:rsidP="00A21BF6">
      <w:pPr>
        <w:spacing w:line="360" w:lineRule="auto"/>
        <w:rPr>
          <w:rFonts w:asciiTheme="majorHAnsi" w:hAnsiTheme="majorHAnsi" w:cstheme="majorHAnsi"/>
          <w:color w:val="FF0000"/>
        </w:rPr>
      </w:pPr>
    </w:p>
    <w:p w14:paraId="6F67EF90" w14:textId="77777777" w:rsidR="00590BFD" w:rsidRPr="00830991" w:rsidRDefault="00590BFD" w:rsidP="00590BFD">
      <w:pPr>
        <w:jc w:val="both"/>
        <w:rPr>
          <w:rFonts w:asciiTheme="majorHAnsi" w:hAnsiTheme="majorHAnsi" w:cstheme="majorHAnsi"/>
          <w:b/>
          <w:bCs/>
        </w:rPr>
      </w:pPr>
    </w:p>
    <w:p w14:paraId="015E5F47" w14:textId="07EB63F9" w:rsidR="00590BFD" w:rsidRPr="00830991" w:rsidRDefault="00590BFD" w:rsidP="00590BFD">
      <w:pPr>
        <w:pStyle w:val="Odlomakpopisa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</w:rPr>
      </w:pPr>
      <w:r w:rsidRPr="00830991">
        <w:rPr>
          <w:rFonts w:asciiTheme="majorHAnsi" w:hAnsiTheme="majorHAnsi" w:cstheme="majorHAnsi"/>
          <w:b/>
          <w:bCs/>
        </w:rPr>
        <w:t>ZAKLJUČAK:</w:t>
      </w:r>
    </w:p>
    <w:p w14:paraId="1C79D2EE" w14:textId="77777777" w:rsidR="00590BFD" w:rsidRPr="00830991" w:rsidRDefault="00590BFD" w:rsidP="00590BFD">
      <w:pPr>
        <w:jc w:val="both"/>
        <w:rPr>
          <w:rFonts w:asciiTheme="majorHAnsi" w:hAnsiTheme="majorHAnsi" w:cstheme="majorHAnsi"/>
        </w:rPr>
      </w:pPr>
    </w:p>
    <w:p w14:paraId="089DA76B" w14:textId="4A4BE86F" w:rsidR="00590BFD" w:rsidRPr="006770F3" w:rsidRDefault="00590BFD" w:rsidP="006770F3">
      <w:pPr>
        <w:spacing w:line="276" w:lineRule="auto"/>
        <w:jc w:val="both"/>
        <w:rPr>
          <w:rFonts w:asciiTheme="majorHAnsi" w:hAnsiTheme="majorHAnsi" w:cstheme="majorHAnsi"/>
        </w:rPr>
      </w:pPr>
      <w:r w:rsidRPr="006770F3">
        <w:rPr>
          <w:rFonts w:asciiTheme="majorHAnsi" w:hAnsiTheme="majorHAnsi" w:cstheme="majorHAnsi"/>
        </w:rPr>
        <w:t xml:space="preserve">Obrazloženjem financijskog plana objašnjava se djelatnost </w:t>
      </w:r>
      <w:r w:rsidR="006770F3" w:rsidRPr="006770F3">
        <w:rPr>
          <w:rFonts w:asciiTheme="majorHAnsi" w:hAnsiTheme="majorHAnsi" w:cstheme="majorHAnsi"/>
        </w:rPr>
        <w:t>Pučkog otvorenog učilišta Donja Stubica</w:t>
      </w:r>
      <w:r w:rsidRPr="006770F3">
        <w:rPr>
          <w:rFonts w:asciiTheme="majorHAnsi" w:hAnsiTheme="majorHAnsi" w:cstheme="majorHAnsi"/>
        </w:rPr>
        <w:t xml:space="preserve"> te </w:t>
      </w:r>
      <w:r w:rsidR="008D067E">
        <w:rPr>
          <w:rFonts w:asciiTheme="majorHAnsi" w:hAnsiTheme="majorHAnsi" w:cstheme="majorHAnsi"/>
        </w:rPr>
        <w:t xml:space="preserve">se </w:t>
      </w:r>
      <w:r w:rsidRPr="006770F3">
        <w:rPr>
          <w:rFonts w:asciiTheme="majorHAnsi" w:hAnsiTheme="majorHAnsi" w:cstheme="majorHAnsi"/>
        </w:rPr>
        <w:t>povez</w:t>
      </w:r>
      <w:r w:rsidR="008D067E">
        <w:rPr>
          <w:rFonts w:asciiTheme="majorHAnsi" w:hAnsiTheme="majorHAnsi" w:cstheme="majorHAnsi"/>
        </w:rPr>
        <w:t>uje</w:t>
      </w:r>
      <w:r w:rsidRPr="006770F3">
        <w:rPr>
          <w:rFonts w:asciiTheme="majorHAnsi" w:hAnsiTheme="majorHAnsi" w:cstheme="majorHAnsi"/>
        </w:rPr>
        <w:t xml:space="preserve"> </w:t>
      </w:r>
      <w:r w:rsidR="006770F3" w:rsidRPr="006770F3">
        <w:rPr>
          <w:rFonts w:asciiTheme="majorHAnsi" w:hAnsiTheme="majorHAnsi" w:cstheme="majorHAnsi"/>
        </w:rPr>
        <w:t>program rada</w:t>
      </w:r>
      <w:r w:rsidRPr="006770F3">
        <w:rPr>
          <w:rFonts w:asciiTheme="majorHAnsi" w:hAnsiTheme="majorHAnsi" w:cstheme="majorHAnsi"/>
        </w:rPr>
        <w:t xml:space="preserve"> </w:t>
      </w:r>
      <w:r w:rsidR="006770F3" w:rsidRPr="006770F3">
        <w:rPr>
          <w:rFonts w:asciiTheme="majorHAnsi" w:hAnsiTheme="majorHAnsi" w:cstheme="majorHAnsi"/>
        </w:rPr>
        <w:t>Pučkog otvorenog učilišta Donja Stubica</w:t>
      </w:r>
      <w:r w:rsidRPr="006770F3">
        <w:rPr>
          <w:rFonts w:asciiTheme="majorHAnsi" w:hAnsiTheme="majorHAnsi" w:cstheme="majorHAnsi"/>
        </w:rPr>
        <w:t xml:space="preserve"> s izvorima sredstava</w:t>
      </w:r>
      <w:r w:rsidR="006770F3" w:rsidRPr="006770F3">
        <w:rPr>
          <w:rFonts w:asciiTheme="majorHAnsi" w:hAnsiTheme="majorHAnsi" w:cstheme="majorHAnsi"/>
        </w:rPr>
        <w:t xml:space="preserve"> potrebnih</w:t>
      </w:r>
      <w:r w:rsidRPr="006770F3">
        <w:rPr>
          <w:rFonts w:asciiTheme="majorHAnsi" w:hAnsiTheme="majorHAnsi" w:cstheme="majorHAnsi"/>
        </w:rPr>
        <w:t xml:space="preserve"> za n</w:t>
      </w:r>
      <w:r w:rsidR="006770F3" w:rsidRPr="006770F3">
        <w:rPr>
          <w:rFonts w:asciiTheme="majorHAnsi" w:hAnsiTheme="majorHAnsi" w:cstheme="majorHAnsi"/>
        </w:rPr>
        <w:t>jegovo</w:t>
      </w:r>
      <w:r w:rsidRPr="006770F3">
        <w:rPr>
          <w:rFonts w:asciiTheme="majorHAnsi" w:hAnsiTheme="majorHAnsi" w:cstheme="majorHAnsi"/>
        </w:rPr>
        <w:t xml:space="preserve"> ostvarenje.</w:t>
      </w:r>
    </w:p>
    <w:p w14:paraId="232C6045" w14:textId="77777777" w:rsidR="00590BFD" w:rsidRPr="006007E8" w:rsidRDefault="00590BFD" w:rsidP="00590BFD">
      <w:pPr>
        <w:jc w:val="both"/>
        <w:rPr>
          <w:rFonts w:asciiTheme="majorHAnsi" w:hAnsiTheme="majorHAnsi" w:cstheme="majorHAnsi"/>
          <w:color w:val="FF0000"/>
        </w:rPr>
      </w:pPr>
    </w:p>
    <w:p w14:paraId="7875EF39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5F675015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19782D4B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326E4CCC" w14:textId="77777777" w:rsidR="00590BFD" w:rsidRPr="00830991" w:rsidRDefault="00590BFD" w:rsidP="00590BFD">
      <w:pPr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  <w:t>Ravnateljica</w:t>
      </w:r>
    </w:p>
    <w:p w14:paraId="14A8AE14" w14:textId="0DE21B02" w:rsidR="00A45721" w:rsidRPr="00830991" w:rsidRDefault="00590BFD" w:rsidP="00590BFD">
      <w:pPr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  <w:t>Manuela Frinčić, mag. bibl.</w:t>
      </w:r>
    </w:p>
    <w:sectPr w:rsidR="00A45721" w:rsidRPr="00830991" w:rsidSect="00427E9E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B26B6"/>
    <w:multiLevelType w:val="hybridMultilevel"/>
    <w:tmpl w:val="B9B0320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5CE"/>
    <w:multiLevelType w:val="hybridMultilevel"/>
    <w:tmpl w:val="6B38BF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9"/>
  </w:num>
  <w:num w:numId="2" w16cid:durableId="2086148826">
    <w:abstractNumId w:val="1"/>
  </w:num>
  <w:num w:numId="3" w16cid:durableId="101150968">
    <w:abstractNumId w:val="11"/>
  </w:num>
  <w:num w:numId="4" w16cid:durableId="2039698478">
    <w:abstractNumId w:val="22"/>
  </w:num>
  <w:num w:numId="5" w16cid:durableId="423843667">
    <w:abstractNumId w:val="20"/>
  </w:num>
  <w:num w:numId="6" w16cid:durableId="114719222">
    <w:abstractNumId w:val="12"/>
  </w:num>
  <w:num w:numId="7" w16cid:durableId="1181896045">
    <w:abstractNumId w:val="13"/>
  </w:num>
  <w:num w:numId="8" w16cid:durableId="1891914782">
    <w:abstractNumId w:val="3"/>
  </w:num>
  <w:num w:numId="9" w16cid:durableId="249434442">
    <w:abstractNumId w:val="5"/>
  </w:num>
  <w:num w:numId="10" w16cid:durableId="912160054">
    <w:abstractNumId w:val="0"/>
    <w:lvlOverride w:ilvl="0">
      <w:startOverride w:val="1"/>
    </w:lvlOverride>
  </w:num>
  <w:num w:numId="11" w16cid:durableId="579023974">
    <w:abstractNumId w:val="14"/>
  </w:num>
  <w:num w:numId="12" w16cid:durableId="1763337946">
    <w:abstractNumId w:val="17"/>
  </w:num>
  <w:num w:numId="13" w16cid:durableId="627470636">
    <w:abstractNumId w:val="25"/>
  </w:num>
  <w:num w:numId="14" w16cid:durableId="1257590490">
    <w:abstractNumId w:val="7"/>
  </w:num>
  <w:num w:numId="15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4"/>
  </w:num>
  <w:num w:numId="17" w16cid:durableId="211040828">
    <w:abstractNumId w:val="10"/>
  </w:num>
  <w:num w:numId="18" w16cid:durableId="250050309">
    <w:abstractNumId w:val="15"/>
  </w:num>
  <w:num w:numId="19" w16cid:durableId="1619750309">
    <w:abstractNumId w:val="24"/>
  </w:num>
  <w:num w:numId="20" w16cid:durableId="273942345">
    <w:abstractNumId w:val="8"/>
  </w:num>
  <w:num w:numId="21" w16cid:durableId="930161381">
    <w:abstractNumId w:val="23"/>
  </w:num>
  <w:num w:numId="22" w16cid:durableId="1973123558">
    <w:abstractNumId w:val="26"/>
  </w:num>
  <w:num w:numId="23" w16cid:durableId="665743620">
    <w:abstractNumId w:val="21"/>
  </w:num>
  <w:num w:numId="24" w16cid:durableId="1702169632">
    <w:abstractNumId w:val="16"/>
  </w:num>
  <w:num w:numId="25" w16cid:durableId="936593530">
    <w:abstractNumId w:val="6"/>
  </w:num>
  <w:num w:numId="26" w16cid:durableId="1036807900">
    <w:abstractNumId w:val="2"/>
  </w:num>
  <w:num w:numId="27" w16cid:durableId="806316830">
    <w:abstractNumId w:val="2"/>
  </w:num>
  <w:num w:numId="28" w16cid:durableId="1179857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0CF9"/>
    <w:rsid w:val="00013B36"/>
    <w:rsid w:val="00016F3E"/>
    <w:rsid w:val="00020E83"/>
    <w:rsid w:val="00024CD4"/>
    <w:rsid w:val="00042A8C"/>
    <w:rsid w:val="00042B31"/>
    <w:rsid w:val="00050041"/>
    <w:rsid w:val="00056BBC"/>
    <w:rsid w:val="00064849"/>
    <w:rsid w:val="00082463"/>
    <w:rsid w:val="00085E6B"/>
    <w:rsid w:val="000E0CD0"/>
    <w:rsid w:val="001030B2"/>
    <w:rsid w:val="00105075"/>
    <w:rsid w:val="0010722E"/>
    <w:rsid w:val="0011737D"/>
    <w:rsid w:val="00122AE7"/>
    <w:rsid w:val="00134167"/>
    <w:rsid w:val="00144AF1"/>
    <w:rsid w:val="00163C76"/>
    <w:rsid w:val="0016577C"/>
    <w:rsid w:val="00172DA8"/>
    <w:rsid w:val="00190F18"/>
    <w:rsid w:val="001C0372"/>
    <w:rsid w:val="001C2A5D"/>
    <w:rsid w:val="001C33F0"/>
    <w:rsid w:val="001D7280"/>
    <w:rsid w:val="001E3E79"/>
    <w:rsid w:val="001F5114"/>
    <w:rsid w:val="002105C0"/>
    <w:rsid w:val="0022309F"/>
    <w:rsid w:val="00232986"/>
    <w:rsid w:val="00235569"/>
    <w:rsid w:val="00257449"/>
    <w:rsid w:val="002D590E"/>
    <w:rsid w:val="002E0336"/>
    <w:rsid w:val="002E3741"/>
    <w:rsid w:val="002E6706"/>
    <w:rsid w:val="002F05EB"/>
    <w:rsid w:val="00312A85"/>
    <w:rsid w:val="00317221"/>
    <w:rsid w:val="00340C2F"/>
    <w:rsid w:val="00341173"/>
    <w:rsid w:val="00343A5F"/>
    <w:rsid w:val="0037207B"/>
    <w:rsid w:val="00375C6F"/>
    <w:rsid w:val="003B1C06"/>
    <w:rsid w:val="003E2366"/>
    <w:rsid w:val="00427E9E"/>
    <w:rsid w:val="00434CAE"/>
    <w:rsid w:val="00437EE4"/>
    <w:rsid w:val="00450FA7"/>
    <w:rsid w:val="004A0439"/>
    <w:rsid w:val="004A0F0B"/>
    <w:rsid w:val="004B4810"/>
    <w:rsid w:val="004B6FD7"/>
    <w:rsid w:val="00527089"/>
    <w:rsid w:val="00556202"/>
    <w:rsid w:val="005825DC"/>
    <w:rsid w:val="00584A2E"/>
    <w:rsid w:val="00585011"/>
    <w:rsid w:val="00590BFD"/>
    <w:rsid w:val="005A18E4"/>
    <w:rsid w:val="005B1815"/>
    <w:rsid w:val="005C2177"/>
    <w:rsid w:val="005C6745"/>
    <w:rsid w:val="005C7F57"/>
    <w:rsid w:val="005D61E8"/>
    <w:rsid w:val="006007E8"/>
    <w:rsid w:val="00606B0F"/>
    <w:rsid w:val="00612E17"/>
    <w:rsid w:val="00613362"/>
    <w:rsid w:val="0062227E"/>
    <w:rsid w:val="0062450F"/>
    <w:rsid w:val="00637117"/>
    <w:rsid w:val="00640E49"/>
    <w:rsid w:val="00651ABE"/>
    <w:rsid w:val="0066103D"/>
    <w:rsid w:val="00671C5A"/>
    <w:rsid w:val="006770F3"/>
    <w:rsid w:val="0069071A"/>
    <w:rsid w:val="006C6561"/>
    <w:rsid w:val="006D4FC9"/>
    <w:rsid w:val="006F59A4"/>
    <w:rsid w:val="00700624"/>
    <w:rsid w:val="00745943"/>
    <w:rsid w:val="0076737B"/>
    <w:rsid w:val="007724EE"/>
    <w:rsid w:val="007D3925"/>
    <w:rsid w:val="007F28E7"/>
    <w:rsid w:val="007F3BA6"/>
    <w:rsid w:val="00801DA2"/>
    <w:rsid w:val="00830991"/>
    <w:rsid w:val="008334B0"/>
    <w:rsid w:val="00881207"/>
    <w:rsid w:val="00887C91"/>
    <w:rsid w:val="00892519"/>
    <w:rsid w:val="00892E3D"/>
    <w:rsid w:val="008A3AB6"/>
    <w:rsid w:val="008B70ED"/>
    <w:rsid w:val="008C1B2A"/>
    <w:rsid w:val="008D067E"/>
    <w:rsid w:val="008D2A3A"/>
    <w:rsid w:val="008D389E"/>
    <w:rsid w:val="008E087F"/>
    <w:rsid w:val="008E49B2"/>
    <w:rsid w:val="008E554F"/>
    <w:rsid w:val="008F0887"/>
    <w:rsid w:val="008F2EB0"/>
    <w:rsid w:val="009374F3"/>
    <w:rsid w:val="00946697"/>
    <w:rsid w:val="0095061C"/>
    <w:rsid w:val="009818D2"/>
    <w:rsid w:val="00991095"/>
    <w:rsid w:val="009B694B"/>
    <w:rsid w:val="009F0B58"/>
    <w:rsid w:val="00A21BF6"/>
    <w:rsid w:val="00A378FD"/>
    <w:rsid w:val="00A406F8"/>
    <w:rsid w:val="00A4155D"/>
    <w:rsid w:val="00A45721"/>
    <w:rsid w:val="00A82442"/>
    <w:rsid w:val="00AA2EE2"/>
    <w:rsid w:val="00AA66AD"/>
    <w:rsid w:val="00AE48EC"/>
    <w:rsid w:val="00AF337E"/>
    <w:rsid w:val="00B046CE"/>
    <w:rsid w:val="00B134E0"/>
    <w:rsid w:val="00B22209"/>
    <w:rsid w:val="00B24A0C"/>
    <w:rsid w:val="00B37E44"/>
    <w:rsid w:val="00B431CA"/>
    <w:rsid w:val="00B45D06"/>
    <w:rsid w:val="00B53F33"/>
    <w:rsid w:val="00B55186"/>
    <w:rsid w:val="00B62080"/>
    <w:rsid w:val="00B73713"/>
    <w:rsid w:val="00B82DBC"/>
    <w:rsid w:val="00BF413A"/>
    <w:rsid w:val="00BF5DBB"/>
    <w:rsid w:val="00C22636"/>
    <w:rsid w:val="00C256A3"/>
    <w:rsid w:val="00C31EE0"/>
    <w:rsid w:val="00C34E09"/>
    <w:rsid w:val="00C40900"/>
    <w:rsid w:val="00C420FF"/>
    <w:rsid w:val="00C50BFA"/>
    <w:rsid w:val="00C85E1A"/>
    <w:rsid w:val="00C87D61"/>
    <w:rsid w:val="00C94347"/>
    <w:rsid w:val="00C9445B"/>
    <w:rsid w:val="00CA4117"/>
    <w:rsid w:val="00CA6CD5"/>
    <w:rsid w:val="00CB3552"/>
    <w:rsid w:val="00CB73AC"/>
    <w:rsid w:val="00CC1195"/>
    <w:rsid w:val="00CF0139"/>
    <w:rsid w:val="00CF502C"/>
    <w:rsid w:val="00D066DD"/>
    <w:rsid w:val="00D10AF1"/>
    <w:rsid w:val="00D34FB5"/>
    <w:rsid w:val="00D37B36"/>
    <w:rsid w:val="00D46A62"/>
    <w:rsid w:val="00D626C3"/>
    <w:rsid w:val="00D822AE"/>
    <w:rsid w:val="00D8671C"/>
    <w:rsid w:val="00D932C5"/>
    <w:rsid w:val="00D93528"/>
    <w:rsid w:val="00DA54F9"/>
    <w:rsid w:val="00DB77BA"/>
    <w:rsid w:val="00DD1490"/>
    <w:rsid w:val="00DD2471"/>
    <w:rsid w:val="00DD4258"/>
    <w:rsid w:val="00DD6849"/>
    <w:rsid w:val="00E405E2"/>
    <w:rsid w:val="00E5093F"/>
    <w:rsid w:val="00E64428"/>
    <w:rsid w:val="00E71737"/>
    <w:rsid w:val="00E92A1D"/>
    <w:rsid w:val="00E94FDB"/>
    <w:rsid w:val="00EA01AF"/>
    <w:rsid w:val="00EA5A82"/>
    <w:rsid w:val="00EC2363"/>
    <w:rsid w:val="00EC7280"/>
    <w:rsid w:val="00ED1E2A"/>
    <w:rsid w:val="00F12919"/>
    <w:rsid w:val="00F35EE2"/>
    <w:rsid w:val="00F81C14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22</cp:revision>
  <cp:lastPrinted>2023-10-27T06:46:00Z</cp:lastPrinted>
  <dcterms:created xsi:type="dcterms:W3CDTF">2023-10-23T05:14:00Z</dcterms:created>
  <dcterms:modified xsi:type="dcterms:W3CDTF">2023-10-27T08:30:00Z</dcterms:modified>
</cp:coreProperties>
</file>